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32"/>
        <w:ind w:left="0"/>
        <w:jc w:val="center"/>
        <w:rPr>
          <w:rFonts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eastAsia="方正小标宋_GBK" w:cs="方正小标宋_GBK" w:hint="eastAsia"/>
          <w:sz w:val="44"/>
          <w:szCs w:val="44"/>
        </w:rPr>
        <w:t>霞海海关202</w:t>
      </w:r>
      <w:r>
        <w:rPr>
          <w:rFonts w:eastAsia="方正小标宋_GBK" w:cs="方正小标宋_GBK"/>
          <w:sz w:val="44"/>
          <w:szCs w:val="44"/>
        </w:rPr>
        <w:t>5</w:t>
      </w:r>
      <w:r>
        <w:rPr>
          <w:rFonts w:eastAsia="方正小标宋_GBK" w:cs="方正小标宋_GBK" w:hint="eastAsia"/>
          <w:sz w:val="44"/>
          <w:szCs w:val="44"/>
        </w:rPr>
        <w:t>年政府信息公开工作</w:t>
      </w:r>
    </w:p>
    <w:p>
      <w:pPr>
        <w:pStyle w:val="32"/>
        <w:ind w:left="0"/>
        <w:jc w:val="center"/>
        <w:rPr>
          <w:rFonts w:eastAsia="方正小标宋_GBK" w:cs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年度报告</w:t>
      </w:r>
    </w:p>
    <w:p>
      <w:pPr>
        <w:pStyle w:val="26"/>
        <w:spacing w:line="560" w:lineRule="exact"/>
        <w:ind w:firstLineChars="200" w:firstLine="632"/>
      </w:pPr>
    </w:p>
    <w:p>
      <w:pPr>
        <w:spacing w:line="560" w:lineRule="exact"/>
        <w:ind w:firstLineChars="200" w:firstLine="632"/>
        <w:rPr>
          <w:rFonts w:eastAsia="方正仿宋_GBK" w:cs="宋体"/>
          <w:color w:val="000000"/>
          <w:sz w:val="32"/>
          <w:szCs w:val="32"/>
        </w:rPr>
      </w:pPr>
      <w:r>
        <w:t>2025年，</w:t>
      </w:r>
      <w:r>
        <w:rPr>
          <w:rFonts w:eastAsia="方正仿宋_GBK" w:cs="宋体" w:hint="eastAsia"/>
          <w:color w:val="000000"/>
          <w:sz w:val="32"/>
          <w:szCs w:val="32"/>
        </w:rPr>
        <w:t>霞海海关坚持以习近平新时代中国特色社会主义思想为指导，深入学习贯彻党的</w:t>
      </w:r>
      <w:r>
        <w:rPr>
          <w:rFonts w:eastAsia="方正仿宋_GBK" w:cs="宋体"/>
          <w:color w:val="000000"/>
          <w:sz w:val="32"/>
          <w:szCs w:val="32"/>
        </w:rPr>
        <w:t>二十大和</w:t>
      </w:r>
      <w:r>
        <w:rPr>
          <w:rFonts w:eastAsia="方正仿宋_GBK" w:cs="宋体" w:hint="eastAsia"/>
          <w:color w:val="000000"/>
          <w:sz w:val="32"/>
          <w:szCs w:val="32"/>
        </w:rPr>
        <w:t>二十</w:t>
      </w:r>
      <w:r>
        <w:rPr>
          <w:rFonts w:eastAsia="方正仿宋_GBK" w:cs="宋体"/>
          <w:color w:val="000000"/>
          <w:sz w:val="32"/>
          <w:szCs w:val="32"/>
        </w:rPr>
        <w:t>届历次</w:t>
      </w:r>
      <w:r>
        <w:rPr>
          <w:rFonts w:eastAsia="方正仿宋_GBK" w:cs="宋体" w:hint="eastAsia"/>
          <w:color w:val="000000"/>
          <w:sz w:val="32"/>
          <w:szCs w:val="32"/>
        </w:rPr>
        <w:t>全会精神，</w:t>
      </w:r>
      <w:r>
        <w:rPr>
          <w:rFonts w:eastAsia="方正仿宋_GBK" w:cs="宋体"/>
          <w:color w:val="000000"/>
          <w:sz w:val="32"/>
          <w:szCs w:val="32"/>
        </w:rPr>
        <w:t>始终坚持以人民为中心的理念，不断提升政府信息公开工作质效。</w:t>
      </w:r>
    </w:p>
    <w:p>
      <w:pPr>
        <w:pStyle w:val="3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32"/>
        <w:rPr>
          <w:rFonts w:eastAsia="方正黑体_GBK" w:cs="楷体_GB2312"/>
          <w:bCs/>
          <w:sz w:val="32"/>
          <w:szCs w:val="32"/>
          <w:shd w:val="clear" w:color="auto" w:fill="FFFFFF"/>
        </w:rPr>
      </w:pP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一、总体情况</w:t>
      </w:r>
    </w:p>
    <w:p>
      <w:pPr>
        <w:spacing w:line="560" w:lineRule="exact"/>
        <w:ind w:firstLineChars="200" w:firstLine="632"/>
        <w:rPr>
          <w:rFonts w:ascii="方正楷体_GBK" w:eastAsia="方正楷体_GBK" w:cs="宋体"/>
          <w:color w:val="000000"/>
          <w:szCs w:val="32"/>
        </w:rPr>
      </w:pPr>
      <w:r>
        <w:rPr>
          <w:rFonts w:ascii="方正楷体_GBK" w:eastAsia="方正楷体_GBK" w:cs="宋体" w:hint="eastAsia"/>
          <w:color w:val="000000"/>
          <w:szCs w:val="32"/>
        </w:rPr>
        <w:t>（一）</w:t>
      </w:r>
      <w:r>
        <w:rPr>
          <w:rFonts w:ascii="方正楷体_GBK" w:eastAsia="方正楷体_GBK" w:cs="宋体"/>
          <w:color w:val="000000"/>
          <w:szCs w:val="32"/>
        </w:rPr>
        <w:t>创新工作机制，提升公开规范化水平</w:t>
      </w:r>
      <w:r>
        <w:rPr>
          <w:rFonts w:ascii="方正楷体_GBK" w:eastAsia="方正楷体_GBK" w:cs="宋体" w:hint="eastAsia"/>
          <w:color w:val="000000"/>
          <w:szCs w:val="32"/>
        </w:rPr>
        <w:t>。</w:t>
      </w:r>
    </w:p>
    <w:p>
      <w:pPr>
        <w:pStyle w:val="346"/>
        <w:widowControl/>
        <w:spacing w:line="560" w:lineRule="exact"/>
        <w:ind w:firstLineChars="200" w:firstLine="616"/>
        <w:rPr>
          <w:rFonts w:ascii="方正仿宋_GBK" w:cs="宋体" w:hint="eastAsia"/>
          <w:b/>
          <w:bCs/>
          <w:color w:val="000000"/>
          <w:szCs w:val="32"/>
        </w:rPr>
      </w:pPr>
      <w:r>
        <w:rPr>
          <w:rFonts w:ascii="方正仿宋_GBK" w:hint="eastAsia"/>
          <w:spacing w:val="-4"/>
          <w:sz w:val="32"/>
          <w:szCs w:val="32"/>
        </w:rPr>
        <w:t>严格执行政府信息公开有关法律法规要求，</w:t>
      </w:r>
      <w:r>
        <w:rPr>
          <w:rFonts w:hint="eastAsia"/>
        </w:rPr>
        <w:t>按照“谁制作、谁公开”“谁公开、谁审查”“先审查、后公开”的原则</w:t>
      </w:r>
      <w:r>
        <w:t>，</w:t>
      </w:r>
      <w:r>
        <w:rPr>
          <w:rFonts w:ascii="方正仿宋_GBK" w:hint="eastAsia"/>
          <w:spacing w:val="-4"/>
          <w:sz w:val="32"/>
          <w:szCs w:val="32"/>
        </w:rPr>
        <w:t>切实履行海关政府信息法定公开职责，</w:t>
      </w:r>
      <w:r>
        <w:rPr>
          <w:rFonts w:cs="宋体" w:hint="eastAsia"/>
          <w:kern w:val="0"/>
        </w:rPr>
        <w:t>动态更新</w:t>
      </w:r>
      <w:r>
        <w:rPr>
          <w:rFonts w:cs="宋体" w:hint="eastAsia"/>
          <w:szCs w:val="32"/>
        </w:rPr>
        <w:t>政务公开标准目录</w:t>
      </w:r>
      <w:r>
        <w:rPr>
          <w:rFonts w:cs="宋体" w:hint="eastAsia"/>
          <w:kern w:val="0"/>
        </w:rPr>
        <w:t>，</w:t>
      </w:r>
      <w:r>
        <w:rPr>
          <w:rFonts w:cs="宋体"/>
          <w:kern w:val="0"/>
        </w:rPr>
        <w:t>严格落实</w:t>
      </w:r>
      <w:r>
        <w:rPr>
          <w:rFonts w:cs="宋体" w:hint="eastAsia"/>
          <w:kern w:val="0"/>
        </w:rPr>
        <w:t>政府信息公开工作规程、审查规程，规范“制作</w:t>
      </w:r>
      <w:r>
        <w:rPr>
          <w:rFonts w:cs="宋体"/>
          <w:kern w:val="0"/>
        </w:rPr>
        <w:t>－</w:t>
      </w:r>
      <w:r>
        <w:rPr>
          <w:rFonts w:cs="宋体" w:hint="eastAsia"/>
          <w:kern w:val="0"/>
        </w:rPr>
        <w:t>审核</w:t>
      </w:r>
      <w:r>
        <w:rPr>
          <w:rFonts w:cs="宋体"/>
          <w:kern w:val="0"/>
        </w:rPr>
        <w:t>－</w:t>
      </w:r>
      <w:r>
        <w:rPr>
          <w:rFonts w:cs="宋体" w:hint="eastAsia"/>
          <w:kern w:val="0"/>
        </w:rPr>
        <w:t>发</w:t>
      </w:r>
      <w:r>
        <w:rPr>
          <w:rFonts w:cs="宋体"/>
          <w:kern w:val="0"/>
        </w:rPr>
        <w:t>－</w:t>
      </w:r>
      <w:r>
        <w:rPr>
          <w:rFonts w:cs="宋体" w:hint="eastAsia"/>
          <w:kern w:val="0"/>
        </w:rPr>
        <w:t>-归档”工作全流程</w:t>
      </w:r>
      <w:r>
        <w:rPr>
          <w:rFonts w:cs="宋体"/>
          <w:kern w:val="0"/>
        </w:rPr>
        <w:t>，</w:t>
      </w:r>
      <w:r>
        <w:rPr>
          <w:rFonts w:ascii="方正仿宋_GBK" w:hint="eastAsia"/>
          <w:spacing w:val="-4"/>
          <w:sz w:val="32"/>
          <w:szCs w:val="32"/>
        </w:rPr>
        <w:t>做到</w:t>
      </w:r>
      <w:r>
        <w:rPr>
          <w:rFonts w:ascii="方正仿宋_GBK" w:cs="宋体" w:hint="eastAsia"/>
          <w:color w:val="000000"/>
          <w:kern w:val="0"/>
          <w:szCs w:val="32"/>
        </w:rPr>
        <w:t>各领域各环节信息“应公开</w:t>
      </w:r>
      <w:r>
        <w:rPr>
          <w:rFonts w:ascii="方正仿宋_GBK" w:cs="宋体"/>
          <w:color w:val="000000"/>
          <w:kern w:val="0"/>
          <w:szCs w:val="32"/>
        </w:rPr>
        <w:t>、</w:t>
      </w:r>
      <w:r>
        <w:rPr>
          <w:rFonts w:ascii="方正仿宋_GBK" w:cs="宋体" w:hint="eastAsia"/>
          <w:color w:val="000000"/>
          <w:kern w:val="0"/>
          <w:szCs w:val="32"/>
        </w:rPr>
        <w:t>尽公开”</w:t>
      </w:r>
      <w:r>
        <w:rPr>
          <w:rFonts w:hint="eastAsia"/>
          <w:spacing w:val="-4"/>
          <w:szCs w:val="20"/>
        </w:rPr>
        <w:t>。</w:t>
      </w:r>
      <w:r>
        <w:rPr>
          <w:rFonts w:cs="宋体"/>
          <w:szCs w:val="32"/>
        </w:rPr>
        <w:t>强化与总关办公室的联动配合，加强</w:t>
      </w:r>
      <w:r>
        <w:rPr>
          <w:rFonts w:cs="宋体" w:hint="eastAsia"/>
          <w:kern w:val="0"/>
        </w:rPr>
        <w:t>疑难、复杂敏感信息公开申请多部门会商，</w:t>
      </w:r>
      <w:r>
        <w:rPr>
          <w:rFonts w:hint="eastAsia"/>
          <w:spacing w:val="-4"/>
          <w:szCs w:val="20"/>
        </w:rPr>
        <w:t>完善信息共享及上报工作模式</w:t>
      </w:r>
      <w:r>
        <w:rPr>
          <w:spacing w:val="-4"/>
          <w:szCs w:val="20"/>
        </w:rPr>
        <w:t>，</w:t>
      </w:r>
      <w:r>
        <w:rPr>
          <w:rFonts w:cs="宋体" w:hint="eastAsia"/>
          <w:kern w:val="0"/>
        </w:rPr>
        <w:t>积极</w:t>
      </w:r>
      <w:r>
        <w:rPr>
          <w:rFonts w:cs="宋体"/>
          <w:kern w:val="0"/>
        </w:rPr>
        <w:t>派员</w:t>
      </w:r>
      <w:r>
        <w:rPr>
          <w:rFonts w:cs="宋体" w:hint="eastAsia"/>
          <w:szCs w:val="32"/>
        </w:rPr>
        <w:t>参加总关政务公开培训，</w:t>
      </w:r>
      <w:r>
        <w:rPr>
          <w:rFonts w:cs="宋体"/>
          <w:color w:val="000000"/>
          <w:kern w:val="0"/>
          <w:szCs w:val="32"/>
        </w:rPr>
        <w:t>结合公开事项办理的</w:t>
      </w:r>
      <w:r>
        <w:rPr>
          <w:rFonts w:cs="宋体" w:hint="eastAsia"/>
          <w:color w:val="000000"/>
          <w:kern w:val="0"/>
          <w:szCs w:val="32"/>
        </w:rPr>
        <w:t>重点难点问题，借鉴优秀做法，进行</w:t>
      </w:r>
      <w:r>
        <w:rPr>
          <w:rFonts w:cs="宋体"/>
          <w:color w:val="000000"/>
          <w:kern w:val="0"/>
          <w:szCs w:val="32"/>
        </w:rPr>
        <w:t>二次</w:t>
      </w:r>
      <w:r>
        <w:rPr>
          <w:rFonts w:cs="宋体" w:hint="eastAsia"/>
          <w:color w:val="000000"/>
          <w:kern w:val="0"/>
          <w:szCs w:val="32"/>
        </w:rPr>
        <w:t>专题培训</w:t>
      </w:r>
      <w:r>
        <w:rPr>
          <w:rFonts w:cs="宋体"/>
          <w:color w:val="000000"/>
          <w:kern w:val="0"/>
          <w:szCs w:val="32"/>
        </w:rPr>
        <w:t>促进成果转化。</w:t>
      </w:r>
      <w:r>
        <w:rPr>
          <w:rFonts w:ascii="方正仿宋_GBK" w:cs="宋体" w:hint="eastAsia"/>
          <w:kern w:val="0"/>
        </w:rPr>
        <w:t>明确专人专岗负责，</w:t>
      </w:r>
      <w:r>
        <w:rPr>
          <w:rFonts w:hint="eastAsia"/>
          <w:spacing w:val="-4"/>
          <w:szCs w:val="20"/>
        </w:rPr>
        <w:t>严格落实处科两级信息发布审批，</w:t>
      </w:r>
      <w:r>
        <w:rPr>
          <w:rFonts w:ascii="方正仿宋_GBK" w:hint="eastAsia"/>
          <w:spacing w:val="-4"/>
          <w:sz w:val="32"/>
          <w:szCs w:val="32"/>
        </w:rPr>
        <w:t>严把政治关、法律关、政策关、保密关、文字关，</w:t>
      </w:r>
      <w:r>
        <w:rPr>
          <w:rFonts w:ascii="方正仿宋_GBK" w:cs="宋体"/>
          <w:color w:val="000000"/>
          <w:kern w:val="0"/>
          <w:szCs w:val="32"/>
        </w:rPr>
        <w:t>坚决</w:t>
      </w:r>
      <w:r>
        <w:rPr>
          <w:rFonts w:ascii="方正仿宋_GBK" w:hint="eastAsia"/>
        </w:rPr>
        <w:t>防止失泄密问题发生</w:t>
      </w:r>
      <w:r>
        <w:rPr>
          <w:rFonts w:ascii="方正仿宋_GBK"/>
        </w:rPr>
        <w:t>，</w:t>
      </w:r>
      <w:r>
        <w:rPr>
          <w:rFonts w:hint="eastAsia"/>
          <w:spacing w:val="-4"/>
          <w:szCs w:val="20"/>
        </w:rPr>
        <w:t>不定期开展“回头看”，发现政务公开中存在问题及时排查、整改。</w:t>
      </w:r>
    </w:p>
    <w:p>
      <w:pPr>
        <w:spacing w:line="560" w:lineRule="exact"/>
        <w:ind w:firstLineChars="200" w:firstLine="632"/>
        <w:rPr>
          <w:rFonts w:ascii="方正楷体_GBK" w:eastAsia="方正楷体_GBK" w:cs="宋体"/>
          <w:color w:val="000000"/>
          <w:szCs w:val="32"/>
        </w:rPr>
      </w:pPr>
      <w:r>
        <w:rPr>
          <w:rFonts w:ascii="方正楷体_GBK" w:eastAsia="方正楷体_GBK" w:cs="宋体"/>
          <w:color w:val="000000"/>
          <w:szCs w:val="32"/>
        </w:rPr>
        <w:t>（二）拓宽公开渠道，促进政民互动高效畅通。</w:t>
      </w:r>
    </w:p>
    <w:p>
      <w:pPr>
        <w:pStyle w:val="362"/>
        <w:widowControl/>
        <w:spacing w:line="560" w:lineRule="exact"/>
        <w:ind w:firstLineChars="200" w:firstLine="632"/>
        <w:jc w:val="left"/>
        <w:rPr>
          <w:rFonts w:cs="宋体"/>
          <w:color w:val="000000"/>
          <w:kern w:val="0"/>
          <w:szCs w:val="32"/>
        </w:rPr>
      </w:pPr>
      <w:r>
        <w:rPr>
          <w:rFonts w:hint="eastAsia"/>
        </w:rPr>
        <w:t>依托湛江海关门户网站、“湛江海关12360服务热线”微信公众号等平台集中发布关长接待日、节假日预约通关等信息，</w:t>
      </w:r>
      <w:r>
        <w:rPr>
          <w:rFonts w:cs="Calibri"/>
          <w:kern w:val="0"/>
          <w:szCs w:val="36"/>
        </w:rPr>
        <w:t>及时更新发布</w:t>
      </w:r>
      <w:r>
        <w:rPr>
          <w:rFonts w:cs="Calibri" w:hint="eastAsia"/>
          <w:kern w:val="0"/>
          <w:szCs w:val="36"/>
        </w:rPr>
        <w:t>政务公开邮箱、联系电话，</w:t>
      </w:r>
      <w:r>
        <w:t>年内累计发布信息39条</w:t>
      </w:r>
      <w:r>
        <w:rPr>
          <w:rFonts w:hint="eastAsia"/>
        </w:rPr>
        <w:t>。</w:t>
      </w:r>
      <w:r>
        <w:rPr>
          <w:rFonts w:cs="Calibri"/>
          <w:bCs/>
          <w:kern w:val="0"/>
          <w:szCs w:val="36"/>
        </w:rPr>
        <w:t>发挥政务公开专区作用，</w:t>
      </w:r>
      <w:r>
        <w:rPr>
          <w:rStyle w:val="354Char"/>
          <w:rFonts w:cs="宋体" w:hint="eastAsia"/>
          <w:color w:val="000000"/>
          <w:kern w:val="0"/>
          <w:szCs w:val="32"/>
        </w:rPr>
        <w:t>通过查询机、宣传手册展架、</w:t>
      </w:r>
      <w:r>
        <w:rPr>
          <w:rStyle w:val="354Char"/>
          <w:rFonts w:cs="宋体"/>
          <w:color w:val="000000"/>
          <w:kern w:val="0"/>
          <w:szCs w:val="32"/>
        </w:rPr>
        <w:t>政务公开栏</w:t>
      </w:r>
      <w:r>
        <w:rPr>
          <w:rStyle w:val="354Char"/>
          <w:rFonts w:cs="宋体" w:hint="eastAsia"/>
          <w:color w:val="000000"/>
          <w:kern w:val="0"/>
          <w:szCs w:val="32"/>
        </w:rPr>
        <w:t>栏等硬件设施，动态更新海关最新政策要求、依申请公开渠道、办事指南等，提供</w:t>
      </w:r>
      <w:r>
        <w:rPr>
          <w:rStyle w:val="356Char"/>
          <w:rFonts w:cs="宋体" w:hint="eastAsia"/>
          <w:color w:val="000000"/>
          <w:kern w:val="0"/>
          <w:szCs w:val="32"/>
        </w:rPr>
        <w:t>集中</w:t>
      </w:r>
      <w:r>
        <w:rPr>
          <w:rStyle w:val="354Char"/>
          <w:rFonts w:cs="宋体" w:hint="eastAsia"/>
          <w:color w:val="000000"/>
          <w:kern w:val="0"/>
          <w:szCs w:val="32"/>
        </w:rPr>
        <w:t>便捷服务。</w:t>
      </w:r>
      <w:r>
        <w:rPr>
          <w:rStyle w:val="354Char"/>
          <w:rFonts w:cs="宋体" w:hint="eastAsia"/>
          <w:bCs/>
          <w:color w:val="000000"/>
          <w:kern w:val="0"/>
          <w:szCs w:val="32"/>
        </w:rPr>
        <w:t>及时</w:t>
      </w:r>
      <w:r>
        <w:rPr>
          <w:rFonts w:cs="宋体" w:hint="eastAsia"/>
          <w:color w:val="000000"/>
          <w:kern w:val="0"/>
          <w:szCs w:val="32"/>
          <w:lang w:bidi="ar-SA"/>
        </w:rPr>
        <w:t>梳理汇总各类惠企政策，</w:t>
      </w:r>
      <w:r>
        <w:rPr>
          <w:rFonts w:cs="宋体"/>
          <w:color w:val="000000"/>
          <w:kern w:val="0"/>
          <w:szCs w:val="32"/>
          <w:lang w:bidi="ar-SA"/>
        </w:rPr>
        <w:t>针对海关总署发布的新公告、新政策，在新公告生效等关键节点及时通过关企微信群、座谈会等方式开展政策宣讲，及时收集反馈问题并答疑解惑；</w:t>
      </w:r>
      <w:r>
        <w:rPr>
          <w:rFonts w:cs="宋体" w:hint="eastAsia"/>
          <w:color w:val="000000"/>
          <w:kern w:val="0"/>
          <w:szCs w:val="32"/>
          <w:lang w:bidi="ar-SA"/>
        </w:rPr>
        <w:t>结合“国门生物安全”、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“</w:t>
      </w:r>
      <w:r>
        <w:rPr>
          <w:rFonts w:ascii="Times New Roman" w:eastAsia="方正仿宋_GBK" w:hAnsi="Times New Roman"/>
          <w:sz w:val="32"/>
          <w:szCs w:val="32"/>
        </w:rPr>
        <w:t>8·8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”海关法治宣传日、“</w:t>
      </w:r>
      <w:r>
        <w:rPr>
          <w:rFonts w:ascii="Times New Roman" w:eastAsia="方正仿宋_GBK" w:hAnsi="Times New Roman"/>
          <w:sz w:val="32"/>
          <w:szCs w:val="32"/>
        </w:rPr>
        <w:t>12·4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”宪法宣传周</w:t>
      </w:r>
      <w:r>
        <w:rPr>
          <w:rFonts w:cs="宋体" w:hint="eastAsia"/>
          <w:color w:val="000000"/>
          <w:kern w:val="0"/>
          <w:szCs w:val="32"/>
          <w:lang w:bidi="ar-SA"/>
        </w:rPr>
        <w:t>等系列活动，</w:t>
      </w:r>
      <w:r>
        <w:rPr>
          <w:rFonts w:cs="宋体" w:hint="eastAsia"/>
          <w:color w:val="000000"/>
          <w:kern w:val="0"/>
          <w:szCs w:val="32"/>
        </w:rPr>
        <w:t>组织业务骨干到社区、校园张贴宣传海报、发放宣传小册子、播放宣传微视频，普及海关新出台政策，展示海关工作成效，提高社会公众对海关工作的满意度和认同感。</w:t>
      </w:r>
    </w:p>
    <w:p>
      <w:pPr>
        <w:pStyle w:val="363"/>
        <w:spacing w:line="560" w:lineRule="exact"/>
        <w:ind w:firstLineChars="200" w:firstLine="632"/>
        <w:rPr>
          <w:rFonts w:ascii="方正楷体_GBK" w:eastAsia="方正楷体_GBK" w:cs="宋体"/>
          <w:color w:val="000000"/>
          <w:szCs w:val="32"/>
        </w:rPr>
      </w:pPr>
      <w:r>
        <w:rPr>
          <w:rFonts w:ascii="方正楷体_GBK" w:eastAsia="方正楷体_GBK" w:cs="宋体"/>
          <w:color w:val="000000"/>
          <w:szCs w:val="32"/>
        </w:rPr>
        <w:t>（三）聚焦企业需求，提升政策传送精准度。</w:t>
      </w:r>
    </w:p>
    <w:p>
      <w:pPr>
        <w:pStyle w:val="365"/>
        <w:widowControl/>
        <w:spacing w:line="560" w:lineRule="exact"/>
        <w:ind w:firstLineChars="200" w:firstLine="632"/>
        <w:jc w:val="left"/>
        <w:rPr>
          <w:rFonts w:cs="宋体"/>
          <w:color w:val="000000"/>
          <w:kern w:val="0"/>
          <w:szCs w:val="32"/>
        </w:rPr>
      </w:pPr>
      <w:r>
        <w:rPr>
          <w:rFonts w:cs="宋体" w:hint="eastAsia"/>
          <w:bCs/>
          <w:color w:val="000000"/>
          <w:kern w:val="0"/>
          <w:szCs w:val="32"/>
        </w:rPr>
        <w:t>聚焦</w:t>
      </w:r>
      <w:r>
        <w:rPr>
          <w:rFonts w:cs="宋体"/>
          <w:bCs/>
          <w:color w:val="000000"/>
          <w:kern w:val="0"/>
          <w:szCs w:val="32"/>
        </w:rPr>
        <w:t>企业急难愁盼，</w:t>
      </w:r>
      <w:r>
        <w:rPr>
          <w:rFonts w:cs="方正仿宋_GBK" w:hint="eastAsia"/>
          <w:bCs/>
          <w:color w:val="000000"/>
          <w:kern w:val="0"/>
          <w:szCs w:val="32"/>
        </w:rPr>
        <w:t>关领导带队广泛走访地方党政部门、行业协会、企业53次，</w:t>
      </w:r>
      <w:r>
        <w:rPr>
          <w:rFonts w:cs="宋体" w:hint="eastAsia"/>
          <w:color w:val="000000"/>
          <w:kern w:val="0"/>
          <w:szCs w:val="32"/>
          <w:lang w:bidi="ar-SA"/>
        </w:rPr>
        <w:t>与企业“一对一”进行政策解读，实现</w:t>
      </w:r>
      <w:r>
        <w:rPr>
          <w:rFonts w:cs="宋体"/>
          <w:color w:val="000000"/>
          <w:kern w:val="0"/>
          <w:szCs w:val="32"/>
          <w:lang w:bidi="ar-SA"/>
        </w:rPr>
        <w:t>政策</w:t>
      </w:r>
      <w:r>
        <w:rPr>
          <w:rFonts w:cs="宋体" w:hint="eastAsia"/>
          <w:color w:val="000000"/>
          <w:kern w:val="0"/>
          <w:szCs w:val="32"/>
          <w:lang w:bidi="ar-SA"/>
        </w:rPr>
        <w:t>宣讲方式从“大水漫灌”到“精准滴灌”</w:t>
      </w:r>
      <w:r>
        <w:rPr>
          <w:rFonts w:cs="宋体"/>
          <w:color w:val="000000"/>
          <w:kern w:val="0"/>
          <w:szCs w:val="32"/>
          <w:lang w:bidi="ar-SA"/>
        </w:rPr>
        <w:t>，</w:t>
      </w:r>
      <w:r>
        <w:rPr>
          <w:rFonts w:cs="方正仿宋_GBK" w:hint="eastAsia"/>
          <w:bCs/>
          <w:color w:val="000000"/>
          <w:kern w:val="0"/>
          <w:szCs w:val="32"/>
        </w:rPr>
        <w:t>助企纾难解困问题32项。</w:t>
      </w:r>
      <w:r>
        <w:rPr>
          <w:rFonts w:cs="宋体"/>
          <w:color w:val="000000"/>
          <w:kern w:val="0"/>
          <w:szCs w:val="32"/>
          <w:lang w:bidi="ar-SA"/>
        </w:rPr>
        <w:t>落实</w:t>
      </w:r>
      <w:r>
        <w:rPr>
          <w:rFonts w:cs="宋体" w:hint="eastAsia"/>
          <w:color w:val="000000"/>
          <w:kern w:val="0"/>
          <w:szCs w:val="32"/>
          <w:lang w:bidi="ar-SA"/>
        </w:rPr>
        <w:t>“首问负责制”</w:t>
      </w:r>
      <w:r>
        <w:rPr>
          <w:rFonts w:cs="宋体"/>
          <w:color w:val="000000"/>
          <w:kern w:val="0"/>
          <w:szCs w:val="32"/>
          <w:lang w:bidi="ar-SA"/>
        </w:rPr>
        <w:t>，</w:t>
      </w:r>
      <w:r>
        <w:rPr>
          <w:rFonts w:cs="宋体" w:hint="eastAsia"/>
          <w:bCs/>
          <w:color w:val="000000"/>
          <w:kern w:val="0"/>
          <w:szCs w:val="32"/>
        </w:rPr>
        <w:t>优化“前台受理、后台审批、窗口答复”工作机制，</w:t>
      </w:r>
      <w:r>
        <w:rPr>
          <w:rFonts w:cs="宋体"/>
          <w:color w:val="000000"/>
          <w:kern w:val="0"/>
          <w:szCs w:val="32"/>
          <w:lang w:bidi="ar-SA"/>
        </w:rPr>
        <w:t>秉持</w:t>
      </w:r>
      <w:r>
        <w:rPr>
          <w:rFonts w:cs="宋体" w:hint="eastAsia"/>
          <w:color w:val="000000"/>
          <w:kern w:val="0"/>
          <w:szCs w:val="32"/>
          <w:lang w:bidi="ar-SA"/>
        </w:rPr>
        <w:t>“零推诿</w:t>
      </w:r>
      <w:r>
        <w:rPr>
          <w:rFonts w:cs="宋体"/>
          <w:color w:val="000000"/>
          <w:kern w:val="0"/>
          <w:szCs w:val="32"/>
          <w:lang w:bidi="ar-SA"/>
        </w:rPr>
        <w:t>、</w:t>
      </w:r>
      <w:r>
        <w:rPr>
          <w:rFonts w:cs="宋体" w:hint="eastAsia"/>
          <w:color w:val="000000"/>
          <w:kern w:val="0"/>
          <w:szCs w:val="32"/>
          <w:lang w:bidi="ar-SA"/>
        </w:rPr>
        <w:t>零距离</w:t>
      </w:r>
      <w:r>
        <w:rPr>
          <w:rFonts w:cs="宋体"/>
          <w:color w:val="000000"/>
          <w:kern w:val="0"/>
          <w:szCs w:val="32"/>
          <w:lang w:bidi="ar-SA"/>
        </w:rPr>
        <w:t>、</w:t>
      </w:r>
      <w:r>
        <w:rPr>
          <w:rFonts w:cs="宋体" w:hint="eastAsia"/>
          <w:color w:val="000000"/>
          <w:kern w:val="0"/>
          <w:szCs w:val="32"/>
          <w:lang w:bidi="ar-SA"/>
        </w:rPr>
        <w:t>零差错”工作</w:t>
      </w:r>
      <w:r>
        <w:rPr>
          <w:rFonts w:cs="宋体"/>
          <w:color w:val="000000"/>
          <w:kern w:val="0"/>
          <w:szCs w:val="32"/>
          <w:lang w:bidi="ar-SA"/>
        </w:rPr>
        <w:t>态度</w:t>
      </w:r>
      <w:r>
        <w:rPr>
          <w:rFonts w:cs="宋体" w:hint="eastAsia"/>
          <w:color w:val="000000"/>
          <w:kern w:val="0"/>
          <w:szCs w:val="32"/>
          <w:lang w:bidi="ar-SA"/>
        </w:rPr>
        <w:t>将惠企工作嵌入窗口服务全流程</w:t>
      </w:r>
      <w:r>
        <w:rPr>
          <w:rFonts w:cs="宋体"/>
          <w:color w:val="000000"/>
          <w:kern w:val="0"/>
          <w:szCs w:val="32"/>
          <w:lang w:bidi="ar-SA"/>
        </w:rPr>
        <w:t>，</w:t>
      </w:r>
      <w:r>
        <w:rPr>
          <w:rFonts w:cs="宋体" w:hint="eastAsia"/>
          <w:color w:val="000000"/>
          <w:kern w:val="0"/>
          <w:szCs w:val="32"/>
        </w:rPr>
        <w:t>“一站式”办事提升回应政策咨询</w:t>
      </w:r>
      <w:r>
        <w:rPr>
          <w:rFonts w:cs="宋体"/>
          <w:color w:val="000000"/>
          <w:kern w:val="0"/>
          <w:szCs w:val="32"/>
        </w:rPr>
        <w:t>服务水平</w:t>
      </w:r>
      <w:r>
        <w:rPr>
          <w:rFonts w:cs="宋体" w:hint="eastAsia"/>
          <w:color w:val="000000"/>
          <w:kern w:val="0"/>
          <w:szCs w:val="32"/>
        </w:rPr>
        <w:t>。</w:t>
      </w:r>
      <w:r>
        <w:rPr>
          <w:rFonts w:cs="宋体"/>
          <w:color w:val="000000"/>
          <w:kern w:val="0"/>
          <w:szCs w:val="32"/>
        </w:rPr>
        <w:t>用好</w:t>
      </w:r>
      <w:r>
        <w:rPr>
          <w:rFonts w:cs="宋体" w:hint="eastAsia"/>
          <w:color w:val="000000"/>
          <w:kern w:val="0"/>
          <w:szCs w:val="32"/>
        </w:rPr>
        <w:t>“霞海和枫”工作站，</w:t>
      </w:r>
      <w:r>
        <w:rPr>
          <w:szCs w:val="32"/>
        </w:rPr>
        <w:t>依托</w:t>
      </w:r>
      <w:r>
        <w:rPr>
          <w:rFonts w:hint="eastAsia"/>
          <w:szCs w:val="32"/>
        </w:rPr>
        <w:t>动植检、食品、企业管理、保税、稽查、快件审单等</w:t>
      </w:r>
      <w:r>
        <w:rPr>
          <w:szCs w:val="32"/>
        </w:rPr>
        <w:t>6个</w:t>
      </w:r>
      <w:r>
        <w:rPr>
          <w:rFonts w:hint="eastAsia"/>
          <w:szCs w:val="32"/>
        </w:rPr>
        <w:t>业务领域</w:t>
      </w:r>
      <w:r>
        <w:rPr>
          <w:szCs w:val="32"/>
        </w:rPr>
        <w:t>专家工作室，与公职律师组成专家团队，</w:t>
      </w:r>
      <w:r>
        <w:rPr>
          <w:rFonts w:hint="eastAsia"/>
          <w:szCs w:val="32"/>
        </w:rPr>
        <w:t>梳理调解流程、组织情景模拟演练，提供电话咨询、现场调解和电子屏自助查询政策法规等服务</w:t>
      </w:r>
      <w:r>
        <w:rPr>
          <w:rFonts w:cs="宋体" w:hint="eastAsia"/>
          <w:color w:val="000000"/>
          <w:kern w:val="0"/>
          <w:szCs w:val="32"/>
        </w:rPr>
        <w:t>，实现前端争议化解率100%</w:t>
      </w:r>
      <w:r>
        <w:rPr>
          <w:rFonts w:cs="宋体"/>
          <w:color w:val="000000"/>
          <w:kern w:val="0"/>
          <w:szCs w:val="32"/>
        </w:rPr>
        <w:t>。</w:t>
      </w:r>
    </w:p>
    <w:p>
      <w:pPr>
        <w:pStyle w:val="35"/>
        <w:widowControl/>
        <w:autoSpaceDN w:val="0"/>
        <w:spacing w:beforeLines="50" w:before="290" w:after="120" w:line="240" w:lineRule="auto"/>
        <w:ind w:firstLineChars="200" w:firstLine="616"/>
        <w:jc w:val="left"/>
        <w:rPr>
          <w:rFonts w:eastAsia="方正黑体_GBK"/>
          <w:bCs/>
          <w:szCs w:val="32"/>
          <w:shd w:val="clear" w:color="auto" w:fill="FFFFFF"/>
        </w:rPr>
      </w:pPr>
      <w:r>
        <w:rPr>
          <w:rFonts w:eastAsia="方正黑体_GBK"/>
          <w:bCs/>
          <w:szCs w:val="32"/>
          <w:shd w:val="clear" w:color="auto" w:fill="FFFFFF"/>
        </w:rPr>
        <w:t>二、主动公开政府信息情况</w:t>
      </w:r>
    </w:p>
    <w:tbl>
      <w:tblPr>
        <w:jc w:val="center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7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ind w:firstLineChars="100" w:firstLine="236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本年制发件数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ind w:firstLineChars="50" w:firstLine="118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本年废止件数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6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ind w:firstLineChars="150" w:firstLine="354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6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5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jc w:val="center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left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jc w:val="center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26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jc w:val="center"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2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contextualSpacing w:val="0"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</w:tbl>
    <w:p>
      <w:pPr>
        <w:pStyle w:val="36"/>
        <w:widowControl/>
        <w:shd w:val="clear" w:color="auto" w:fill="FFFFFF"/>
        <w:autoSpaceDN w:val="0"/>
        <w:spacing w:beforeLines="50" w:before="290" w:beforeAutospacing="0" w:after="120" w:afterAutospacing="0"/>
        <w:ind w:firstLineChars="200" w:firstLine="632"/>
        <w:rPr>
          <w:rFonts w:eastAsia="方正黑体_GBK"/>
          <w:bCs/>
          <w:sz w:val="32"/>
          <w:szCs w:val="32"/>
          <w:shd w:val="clear" w:color="auto" w:fill="FFFFFF"/>
        </w:rPr>
      </w:pPr>
      <w:r>
        <w:rPr>
          <w:rFonts w:eastAsia="方正黑体_GBK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jc w:val="cen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2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8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1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27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2.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危及</w:t>
            </w:r>
            <w:r>
              <w:rPr>
                <w:rFonts w:eastAsia="楷体"/>
                <w:vanish w:val="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三安全一稳定</w:t>
            </w:r>
            <w:r>
              <w:rPr>
                <w:rFonts w:eastAsia="楷体"/>
                <w:vanish w:val="0"/>
                <w:kern w:val="0"/>
                <w:sz w:val="24"/>
                <w:szCs w:val="24"/>
              </w:rPr>
              <w:t>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4.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5.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6.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7.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8.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2.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1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2.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4.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5.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rPr>
          <w:trHeight w:val="566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11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rFonts w:eastAsia="楷体"/>
                <w:vanish w:val="0"/>
                <w:kern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1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rPr>
          <w:trHeight w:val="566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1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rFonts w:eastAsia="楷体"/>
                <w:vanish w:val="0"/>
                <w:kern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 xml:space="preserve"> 2.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rPr>
          <w:trHeight w:val="566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02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rFonts w:eastAsia="楷体"/>
                <w:vanish w:val="0"/>
                <w:kern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 xml:space="preserve"> 3.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0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rPr>
          <w:trHeight w:val="566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9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rFonts w:eastAsia="楷体"/>
                <w:vanish w:val="0"/>
                <w:kern w:val="0"/>
                <w:sz w:val="24"/>
                <w:szCs w:val="24"/>
              </w:rPr>
            </w:pPr>
            <w:r>
              <w:rPr>
                <w:rFonts w:eastAsia="楷体"/>
                <w:vanish w:val="0"/>
                <w:kern w:val="0"/>
                <w:sz w:val="24"/>
                <w:szCs w:val="24"/>
              </w:rPr>
              <w:t xml:space="preserve"> 4.</w:t>
            </w: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9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8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8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8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8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楷体" w:hAnsi="Times New Roman" w:hint="eastAsia"/>
                <w:vanish w:val="0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8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8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8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8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8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8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1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eastAsia="方正仿宋_GBK"/>
                <w:vanish w:val="0"/>
                <w:spacing w:val="-4"/>
                <w:sz w:val="24"/>
                <w:szCs w:val="24"/>
              </w:rPr>
            </w:pPr>
            <w:r>
              <w:rPr>
                <w:rFonts w:eastAsia="方正仿宋_GBK"/>
                <w:vanish w:val="0"/>
                <w:sz w:val="24"/>
                <w:szCs w:val="24"/>
              </w:rPr>
              <w:t>0</w:t>
            </w:r>
          </w:p>
        </w:tc>
      </w:tr>
    </w:tbl>
    <w:p>
      <w:pPr>
        <w:pStyle w:val="37"/>
        <w:widowControl/>
        <w:shd w:val="clear" w:color="auto" w:fill="FFFFFF"/>
        <w:autoSpaceDN w:val="0"/>
        <w:spacing w:beforeLines="50" w:before="290" w:beforeAutospacing="0" w:after="120" w:afterAutospacing="0"/>
        <w:ind w:firstLineChars="200" w:firstLine="632"/>
        <w:rPr>
          <w:rFonts w:eastAsia="方正黑体_GBK"/>
          <w:bCs/>
          <w:sz w:val="32"/>
          <w:szCs w:val="32"/>
          <w:shd w:val="clear" w:color="auto" w:fill="FFFFFF"/>
        </w:rPr>
      </w:pPr>
      <w:r>
        <w:rPr>
          <w:rFonts w:eastAsia="方正黑体_GBK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jc w:val="cen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2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2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rPr>
                <w:vanish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vanish w:val="0"/>
                <w:kern w:val="0"/>
                <w:sz w:val="24"/>
                <w:szCs w:val="24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3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2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1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0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9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8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7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6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sz w:val="28"/>
                <w:szCs w:val="28"/>
              </w:rPr>
            </w:pPr>
            <w:r>
              <w:rPr>
                <w:vanish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5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spacing w:val="-4"/>
                <w:kern w:val="0"/>
                <w:sz w:val="28"/>
                <w:szCs w:val="28"/>
              </w:rPr>
            </w:pPr>
            <w:r>
              <w:rPr>
                <w:vanish w:val="0"/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9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kinsoku/>
              <w:wordWrap/>
              <w:overflowPunct/>
              <w:topLinePunct w:val="0"/>
              <w:autoSpaceDE/>
              <w:autoSpaceDN/>
              <w:jc w:val="center"/>
              <w:rPr>
                <w:vanish w:val="0"/>
                <w:kern w:val="0"/>
                <w:sz w:val="28"/>
                <w:szCs w:val="28"/>
              </w:rPr>
            </w:pPr>
            <w:r>
              <w:rPr>
                <w:vanish w:val="0"/>
                <w:kern w:val="0"/>
                <w:sz w:val="28"/>
                <w:szCs w:val="28"/>
              </w:rPr>
              <w:t>0</w:t>
            </w:r>
          </w:p>
        </w:tc>
      </w:tr>
    </w:tbl>
    <w:p>
      <w:pPr>
        <w:pStyle w:val="38"/>
        <w:widowControl/>
        <w:shd w:val="clear" w:color="auto" w:fill="FFFFFF"/>
        <w:spacing w:beforeLines="50" w:before="290" w:beforeAutospacing="0" w:afterAutospacing="0" w:line="560" w:lineRule="exact"/>
        <w:ind w:firstLineChars="200" w:firstLine="632"/>
        <w:jc w:val="both"/>
        <w:rPr>
          <w:rFonts w:eastAsia="方正黑体_GBK" w:cs="楷体_GB2312"/>
          <w:bCs/>
          <w:sz w:val="32"/>
          <w:szCs w:val="32"/>
          <w:shd w:val="clear" w:color="auto" w:fill="FFFFFF"/>
        </w:rPr>
      </w:pP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五、存在的主要问题及改进情况</w:t>
      </w:r>
    </w:p>
    <w:p>
      <w:pPr>
        <w:pStyle w:val="371"/>
        <w:adjustRightInd w:val="0"/>
        <w:snapToGrid w:val="0"/>
        <w:ind w:firstLineChars="200" w:firstLine="616"/>
        <w:rPr>
          <w:rFonts w:cs="宋体"/>
          <w:color w:val="000000"/>
          <w:kern w:val="0"/>
          <w:szCs w:val="32"/>
          <w:lang w:bidi="ar-SA"/>
        </w:rPr>
      </w:pPr>
      <w:r>
        <w:rPr>
          <w:rFonts w:eastAsia="方正楷体_GBK" w:hint="eastAsia"/>
          <w:b/>
          <w:bCs/>
        </w:rPr>
        <w:t>（一）202</w:t>
      </w:r>
      <w:r>
        <w:rPr>
          <w:rFonts w:eastAsia="方正楷体_GBK"/>
          <w:b/>
          <w:bCs/>
        </w:rPr>
        <w:t>4</w:t>
      </w:r>
      <w:r>
        <w:rPr>
          <w:rFonts w:eastAsia="方正楷体_GBK" w:hint="eastAsia"/>
          <w:b/>
          <w:bCs/>
        </w:rPr>
        <w:t>年年报中所提问题整改情况</w:t>
      </w:r>
      <w:r>
        <w:rPr>
          <w:rFonts w:eastAsia="方正楷体_GBK"/>
          <w:b/>
          <w:bCs/>
        </w:rPr>
        <w:t>。</w:t>
      </w:r>
      <w:r>
        <w:rPr>
          <w:rFonts w:cs="宋体"/>
          <w:color w:val="000000"/>
          <w:kern w:val="0"/>
          <w:szCs w:val="32"/>
          <w:lang w:bidi="ar-SA"/>
        </w:rPr>
        <w:t>针对</w:t>
      </w:r>
      <w:r>
        <w:rPr>
          <w:rFonts w:cs="宋体" w:hint="eastAsia"/>
          <w:color w:val="000000"/>
          <w:kern w:val="0"/>
          <w:szCs w:val="32"/>
          <w:lang w:bidi="ar-SA"/>
        </w:rPr>
        <w:t>“</w:t>
      </w:r>
      <w:r>
        <w:rPr>
          <w:rFonts w:cs="宋体" w:hint="eastAsia"/>
          <w:bCs/>
          <w:color w:val="000000"/>
          <w:kern w:val="0"/>
          <w:szCs w:val="32"/>
          <w:lang w:bidi="ar-SA"/>
        </w:rPr>
        <w:t>年末</w:t>
      </w:r>
      <w:r>
        <w:rPr>
          <w:rFonts w:cs="宋体"/>
          <w:bCs/>
          <w:color w:val="000000"/>
          <w:kern w:val="0"/>
          <w:szCs w:val="32"/>
          <w:lang w:bidi="ar-SA"/>
        </w:rPr>
        <w:t>整体搬迁到新办公场所后，政务公开专区等建设需根据实际情况作进一步统筹</w:t>
      </w:r>
      <w:r>
        <w:rPr>
          <w:rFonts w:cs="宋体"/>
          <w:color w:val="000000"/>
          <w:kern w:val="0"/>
          <w:szCs w:val="32"/>
          <w:lang w:bidi="ar-SA"/>
        </w:rPr>
        <w:t>优化调整</w:t>
      </w:r>
      <w:r>
        <w:rPr>
          <w:rFonts w:cs="宋体" w:hint="eastAsia"/>
          <w:color w:val="000000"/>
          <w:kern w:val="0"/>
          <w:szCs w:val="32"/>
          <w:lang w:bidi="ar-SA"/>
        </w:rPr>
        <w:t>”的问题</w:t>
      </w:r>
      <w:r>
        <w:rPr>
          <w:rFonts w:cs="宋体"/>
          <w:color w:val="000000"/>
          <w:kern w:val="0"/>
          <w:szCs w:val="32"/>
          <w:lang w:bidi="ar-SA"/>
        </w:rPr>
        <w:t>，</w:t>
      </w:r>
      <w:r>
        <w:rPr>
          <w:rFonts w:cs="宋体" w:hint="eastAsia"/>
          <w:color w:val="000000"/>
          <w:kern w:val="0"/>
          <w:szCs w:val="32"/>
          <w:lang w:bidi="ar-SA"/>
        </w:rPr>
        <w:t>我关采取以下措施开展整改：</w:t>
      </w:r>
      <w:r>
        <w:rPr>
          <w:rFonts w:cs="宋体"/>
          <w:color w:val="000000"/>
          <w:kern w:val="0"/>
          <w:szCs w:val="32"/>
          <w:lang w:bidi="ar-SA"/>
        </w:rPr>
        <w:t>在搬迁后的政务大厅完成政务公开专区建设，在专区内</w:t>
      </w:r>
      <w:r>
        <w:rPr>
          <w:rFonts w:cs="宋体" w:hint="eastAsia"/>
          <w:color w:val="000000"/>
          <w:kern w:val="0"/>
          <w:szCs w:val="32"/>
          <w:lang w:bidi="ar-SA"/>
        </w:rPr>
        <w:t>设立查询展示一体机，方便群众在线查询政策</w:t>
      </w:r>
      <w:r>
        <w:rPr>
          <w:rFonts w:cs="宋体"/>
          <w:color w:val="000000"/>
          <w:kern w:val="0"/>
          <w:szCs w:val="32"/>
          <w:lang w:bidi="ar-SA"/>
        </w:rPr>
        <w:t>；</w:t>
      </w:r>
      <w:r>
        <w:rPr>
          <w:rFonts w:cs="宋体" w:hint="eastAsia"/>
          <w:color w:val="000000"/>
          <w:kern w:val="0"/>
          <w:szCs w:val="32"/>
          <w:lang w:bidi="ar-SA"/>
        </w:rPr>
        <w:t>设置政策公告栏，按照</w:t>
      </w:r>
      <w:r>
        <w:rPr>
          <w:rFonts w:cs="宋体"/>
          <w:color w:val="000000"/>
          <w:kern w:val="0"/>
          <w:szCs w:val="32"/>
          <w:lang w:bidi="ar-SA"/>
        </w:rPr>
        <w:t>属地海关相关职责分类</w:t>
      </w:r>
      <w:r>
        <w:rPr>
          <w:rFonts w:cs="宋体" w:hint="eastAsia"/>
          <w:color w:val="000000"/>
          <w:kern w:val="0"/>
          <w:szCs w:val="32"/>
          <w:lang w:bidi="ar-SA"/>
        </w:rPr>
        <w:t>展示海关最新政策和常用政策，</w:t>
      </w:r>
      <w:r>
        <w:rPr>
          <w:rFonts w:cs="宋体"/>
          <w:color w:val="000000"/>
          <w:kern w:val="0"/>
          <w:szCs w:val="32"/>
          <w:lang w:bidi="ar-SA"/>
        </w:rPr>
        <w:t>向企业</w:t>
      </w:r>
      <w:r>
        <w:rPr>
          <w:rFonts w:cs="宋体" w:hint="eastAsia"/>
          <w:color w:val="000000"/>
          <w:kern w:val="0"/>
          <w:szCs w:val="32"/>
          <w:lang w:bidi="ar-SA"/>
        </w:rPr>
        <w:t>发放</w:t>
      </w:r>
      <w:r>
        <w:rPr>
          <w:rFonts w:cs="宋体"/>
          <w:color w:val="000000"/>
          <w:kern w:val="0"/>
          <w:szCs w:val="32"/>
          <w:lang w:bidi="ar-SA"/>
        </w:rPr>
        <w:t>主动披露、AEO认证等</w:t>
      </w:r>
      <w:r>
        <w:rPr>
          <w:rFonts w:cs="宋体" w:hint="eastAsia"/>
          <w:color w:val="000000"/>
          <w:kern w:val="0"/>
          <w:szCs w:val="32"/>
          <w:lang w:bidi="ar-SA"/>
        </w:rPr>
        <w:t>宣传册</w:t>
      </w:r>
      <w:r>
        <w:rPr>
          <w:rFonts w:cs="宋体"/>
          <w:color w:val="000000"/>
          <w:kern w:val="0"/>
          <w:szCs w:val="32"/>
          <w:lang w:bidi="ar-SA"/>
        </w:rPr>
        <w:t>；</w:t>
      </w:r>
      <w:r>
        <w:rPr>
          <w:rFonts w:cs="宋体" w:hint="eastAsia"/>
          <w:color w:val="000000"/>
          <w:kern w:val="0"/>
          <w:szCs w:val="32"/>
          <w:lang w:bidi="ar-SA"/>
        </w:rPr>
        <w:t>设置专区摆放</w:t>
      </w:r>
      <w:r>
        <w:rPr>
          <w:rFonts w:cs="宋体"/>
          <w:color w:val="000000"/>
          <w:kern w:val="0"/>
          <w:szCs w:val="32"/>
          <w:lang w:bidi="ar-SA"/>
        </w:rPr>
        <w:t>办事指南</w:t>
      </w:r>
      <w:r>
        <w:rPr>
          <w:rFonts w:cs="宋体" w:hint="eastAsia"/>
          <w:color w:val="000000"/>
          <w:kern w:val="0"/>
          <w:szCs w:val="32"/>
          <w:lang w:bidi="ar-SA"/>
        </w:rPr>
        <w:t>以及填写样表，配备桌椅、纸张、笔等便民工具，同时配备意见箱，收集群众意见。</w:t>
      </w:r>
    </w:p>
    <w:p>
      <w:pPr>
        <w:pStyle w:val="372"/>
        <w:adjustRightInd w:val="0"/>
        <w:snapToGrid w:val="0"/>
        <w:ind w:firstLineChars="200" w:firstLine="616"/>
        <w:rPr>
          <w:rFonts w:cs="宋体" w:hint="eastAsia"/>
          <w:color w:val="000000"/>
          <w:kern w:val="0"/>
          <w:szCs w:val="32"/>
          <w:lang w:bidi="ar-SA"/>
        </w:rPr>
      </w:pPr>
      <w:r>
        <w:rPr>
          <w:rFonts w:eastAsia="方正楷体_GBK" w:hint="eastAsia"/>
          <w:b/>
          <w:bCs/>
        </w:rPr>
        <w:t>（二）目前存在问题</w:t>
      </w:r>
      <w:r>
        <w:rPr>
          <w:rFonts w:eastAsia="方正楷体_GBK"/>
          <w:b/>
          <w:bCs/>
        </w:rPr>
        <w:t>。</w:t>
      </w:r>
    </w:p>
    <w:p>
      <w:pPr>
        <w:pStyle w:val="377"/>
        <w:adjustRightInd w:val="0"/>
        <w:snapToGrid w:val="0"/>
        <w:ind w:firstLineChars="200" w:firstLine="616"/>
      </w:pPr>
      <w:r>
        <w:rPr>
          <w:bCs/>
        </w:rPr>
        <w:t>本关日常受理依申请公开数量相对较少，办理政府信息依申请公开的水平有待进一步提高。</w:t>
      </w:r>
    </w:p>
    <w:p>
      <w:pPr>
        <w:pStyle w:val="39"/>
        <w:widowControl/>
        <w:shd w:val="clear" w:color="auto" w:fill="FFFFFF"/>
        <w:spacing w:beforeAutospacing="0" w:afterAutospacing="0" w:line="560" w:lineRule="exact"/>
        <w:ind w:firstLineChars="200" w:firstLine="632"/>
        <w:jc w:val="both"/>
        <w:rPr>
          <w:rFonts w:eastAsia="方正黑体_GBK" w:cs="楷体_GB2312" w:hint="eastAsia"/>
          <w:bCs/>
          <w:sz w:val="32"/>
          <w:szCs w:val="32"/>
          <w:shd w:val="clear" w:color="auto" w:fill="FFFFFF"/>
        </w:rPr>
      </w:pP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六、其他需要报告的事项</w:t>
      </w:r>
    </w:p>
    <w:p>
      <w:pPr>
        <w:pStyle w:val="40"/>
        <w:tabs>
          <w:tab w:val="center" w:pos="4153"/>
          <w:tab w:val="right" w:pos="8306"/>
        </w:tabs>
        <w:ind w:firstLineChars="200" w:firstLine="632"/>
        <w:rPr>
          <w:sz w:val="32"/>
          <w:szCs w:val="32"/>
        </w:rPr>
      </w:pPr>
      <w:r>
        <w:rPr>
          <w:rFonts w:hint="eastAsia"/>
          <w:sz w:val="32"/>
          <w:szCs w:val="32"/>
        </w:rPr>
        <w:t>我关202</w:t>
      </w:r>
      <w:r>
        <w:rPr>
          <w:sz w:val="32"/>
          <w:szCs w:val="32"/>
        </w:rPr>
        <w:t>5</w:t>
      </w:r>
      <w:r>
        <w:rPr>
          <w:rFonts w:hint="eastAsia"/>
          <w:sz w:val="32"/>
          <w:szCs w:val="32"/>
        </w:rPr>
        <w:t>年无收取信息处理费情况。</w:t>
      </w:r>
    </w:p>
    <w:p>
      <w:pPr>
        <w:spacing w:line="560" w:lineRule="exact"/>
        <w:ind w:firstLineChars="200" w:firstLine="632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_GB2312">
    <w:altName w:val="楷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9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6"/>
    <w:basedOn w:val="0"/>
    <w:autoRedefine/>
    <w:next w:val="0"/>
    <w:pPr>
      <w:ind w:left="2100"/>
    </w:pPr>
  </w:style>
  <w:style w:type="paragraph" w:styleId="16">
    <w:name w:val="index 7"/>
    <w:basedOn w:val="0"/>
    <w:autoRedefine/>
    <w:next w:val="0"/>
    <w:pPr>
      <w:ind w:left="2520"/>
    </w:pPr>
  </w:style>
  <w:style w:type="paragraph" w:styleId="17">
    <w:name w:val="index 8"/>
    <w:basedOn w:val="0"/>
    <w:autoRedefine/>
    <w:next w:val="0"/>
    <w:pPr>
      <w:ind w:left="2940"/>
    </w:pPr>
  </w:style>
  <w:style w:type="paragraph" w:styleId="18">
    <w:name w:val="index 9"/>
    <w:basedOn w:val="0"/>
    <w:autoRedefine/>
    <w:next w:val="0"/>
    <w:pPr>
      <w:ind w:left="3360"/>
    </w:pPr>
  </w:style>
  <w:style w:type="paragraph" w:styleId="19">
    <w:name w:val="toc 1"/>
    <w:basedOn w:val="0"/>
    <w:autoRedefine/>
    <w:next w:val="0"/>
  </w:style>
  <w:style w:type="paragraph" w:styleId="20">
    <w:name w:val="toc 2"/>
    <w:basedOn w:val="0"/>
    <w:autoRedefine/>
    <w:next w:val="0"/>
    <w:pPr>
      <w:ind w:left="420"/>
    </w:pPr>
  </w:style>
  <w:style w:type="paragraph" w:styleId="21">
    <w:name w:val="toc 7"/>
    <w:basedOn w:val="0"/>
    <w:autoRedefine/>
    <w:next w:val="0"/>
    <w:pPr>
      <w:ind w:left="2520"/>
    </w:pPr>
  </w:style>
  <w:style w:type="paragraph" w:styleId="22">
    <w:name w:val="toc 8"/>
    <w:basedOn w:val="0"/>
    <w:autoRedefine/>
    <w:next w:val="0"/>
    <w:pPr>
      <w:ind w:left="2940"/>
    </w:pPr>
  </w:style>
  <w:style w:type="paragraph" w:styleId="23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4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5">
    <w:name w:val="index heading"/>
    <w:basedOn w:val="0"/>
    <w:rPr>
      <w:rFonts w:ascii="Arial" w:hAnsi="Arial"/>
      <w:b/>
    </w:rPr>
  </w:style>
  <w:style w:type="paragraph" w:styleId="26">
    <w:name w:val="table of authorities"/>
    <w:basedOn w:val="0"/>
    <w:next w:val="0"/>
    <w:pPr>
      <w:ind w:left="420"/>
    </w:pPr>
  </w:style>
  <w:style w:type="paragraph" w:styleId="27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Times New Roman" w:hAnsi="Courier New"/>
      <w:sz w:val="24"/>
      <w:lang w:val="en-US" w:eastAsia="zh-CN" w:bidi="ar-SA"/>
    </w:rPr>
  </w:style>
  <w:style w:type="paragraph" w:styleId="28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29">
    <w:name w:val="Normal (Web)"/>
    <w:next w:val="15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0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31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32">
    <w:name w:val="样式 6 三号"/>
    <w:next w:val="26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33">
    <w:name w:val="样式 4 三号"/>
    <w:next w:val="52"/>
    <w:pPr>
      <w:widowControl w:val="0"/>
      <w:spacing w:line="560" w:lineRule="exact"/>
      <w:jc w:val="both"/>
    </w:pPr>
    <w:rPr>
      <w:rFonts w:ascii="宋体" w:eastAsia="方正仿宋_GBK" w:cs="Times New Roman" w:hAnsi="宋体"/>
      <w:spacing w:val="-4"/>
      <w:kern w:val="2"/>
      <w:sz w:val="32"/>
      <w:szCs w:val="24"/>
      <w:lang w:val="en-US" w:eastAsia="zh-CN" w:bidi="ar-SA"/>
    </w:rPr>
  </w:style>
  <w:style w:type="paragraph" w:customStyle="1" w:styleId="34">
    <w:name w:val="样式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5">
    <w:name w:val="样式 50 三号"/>
    <w:next w:val="21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6">
    <w:name w:val="样式 1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7">
    <w:name w:val="样式 2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8">
    <w:name w:val="样式 3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9">
    <w:name w:val="样式 4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40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41">
    <w:name w:val="样式 小三"/>
    <w:next w:val="18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2">
    <w:name w:val="样式 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3">
    <w:name w:val="样式 12 小三"/>
    <w:next w:val="17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4">
    <w:name w:val="样式 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5">
    <w:name w:val="样式 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6">
    <w:name w:val="样式 17 小三"/>
    <w:next w:val="15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7">
    <w:name w:val="样式 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8">
    <w:name w:val="样式 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9">
    <w:name w:val="样式 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0">
    <w:name w:val="样式 8 小三"/>
    <w:next w:val="19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1">
    <w:name w:val="样式 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2">
    <w:name w:val="样式 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3">
    <w:name w:val="样式 16 小三"/>
    <w:next w:val="16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4">
    <w:name w:val="样式 1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5">
    <w:name w:val="样式 1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6">
    <w:name w:val="样式 1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7">
    <w:name w:val="样式 1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8">
    <w:name w:val="样式 1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59">
    <w:name w:val="样式 1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0">
    <w:name w:val="样式 1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1">
    <w:name w:val="样式 2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2">
    <w:name w:val="样式 2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3">
    <w:name w:val="样式 2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4">
    <w:name w:val="样式 2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5">
    <w:name w:val="样式 2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6">
    <w:name w:val="样式 2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7">
    <w:name w:val="样式 2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8">
    <w:name w:val="样式 2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69">
    <w:name w:val="样式 2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0">
    <w:name w:val="样式 2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1">
    <w:name w:val="样式 3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2">
    <w:name w:val="样式 3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3">
    <w:name w:val="样式 3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4">
    <w:name w:val="样式 3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5">
    <w:name w:val="样式 3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6">
    <w:name w:val="样式 3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7">
    <w:name w:val="样式 3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8">
    <w:name w:val="样式 3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79">
    <w:name w:val="样式 3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0">
    <w:name w:val="样式 3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1">
    <w:name w:val="样式 4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2">
    <w:name w:val="样式 4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3">
    <w:name w:val="样式 4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4">
    <w:name w:val="样式 4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5">
    <w:name w:val="样式 4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6">
    <w:name w:val="样式 4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7">
    <w:name w:val="样式 4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8">
    <w:name w:val="样式 4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89">
    <w:name w:val="样式 4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0">
    <w:name w:val="样式 4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1">
    <w:name w:val="样式 5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2">
    <w:name w:val="样式 5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3">
    <w:name w:val="样式 5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4">
    <w:name w:val="样式 5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5">
    <w:name w:val="样式 5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6">
    <w:name w:val="样式 5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7">
    <w:name w:val="样式 5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8">
    <w:name w:val="样式 5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99">
    <w:name w:val="样式 5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0">
    <w:name w:val="样式 5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1">
    <w:name w:val="样式 6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2">
    <w:name w:val="样式 6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3">
    <w:name w:val="样式 6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4">
    <w:name w:val="样式 6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5">
    <w:name w:val="样式 6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6">
    <w:name w:val="样式 6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7">
    <w:name w:val="样式 6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8">
    <w:name w:val="样式 6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09">
    <w:name w:val="样式 6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0">
    <w:name w:val="样式 6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1">
    <w:name w:val="样式 7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2">
    <w:name w:val="样式 7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3">
    <w:name w:val="样式 7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4">
    <w:name w:val="样式 7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5">
    <w:name w:val="样式 7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6">
    <w:name w:val="样式 7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7">
    <w:name w:val="样式 7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8">
    <w:name w:val="样式 7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19">
    <w:name w:val="样式 7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0">
    <w:name w:val="样式 7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1">
    <w:name w:val="样式 8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2">
    <w:name w:val="样式 8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3">
    <w:name w:val="样式 8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4">
    <w:name w:val="样式 8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5">
    <w:name w:val="样式 8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6">
    <w:name w:val="样式 8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7">
    <w:name w:val="样式 8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8">
    <w:name w:val="样式 8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29">
    <w:name w:val="样式 8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0">
    <w:name w:val="样式 8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1">
    <w:name w:val="样式 9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2">
    <w:name w:val="样式 9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3">
    <w:name w:val="样式 9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4">
    <w:name w:val="样式 9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5">
    <w:name w:val="样式 9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6">
    <w:name w:val="样式 9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7">
    <w:name w:val="样式 9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8">
    <w:name w:val="样式 9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39">
    <w:name w:val="样式 9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0">
    <w:name w:val="样式 9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1">
    <w:name w:val="样式 10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2">
    <w:name w:val="样式 10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3">
    <w:name w:val="样式 10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4">
    <w:name w:val="样式 10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5">
    <w:name w:val="样式 10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6">
    <w:name w:val="样式 10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7">
    <w:name w:val="样式 10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8">
    <w:name w:val="样式 10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49">
    <w:name w:val="样式 10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0">
    <w:name w:val="样式 10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1">
    <w:name w:val="样式 11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2">
    <w:name w:val="样式 11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3">
    <w:name w:val="样式 11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4">
    <w:name w:val="样式 11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5">
    <w:name w:val="样式 11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6">
    <w:name w:val="样式 11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7">
    <w:name w:val="样式 11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8">
    <w:name w:val="样式 11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59">
    <w:name w:val="样式 11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0">
    <w:name w:val="样式 11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1">
    <w:name w:val="样式 12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2">
    <w:name w:val="样式 12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3">
    <w:name w:val="样式 12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4">
    <w:name w:val="样式 12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5">
    <w:name w:val="样式 12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6">
    <w:name w:val="样式 12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7">
    <w:name w:val="样式 12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8">
    <w:name w:val="样式 12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69">
    <w:name w:val="样式 12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0">
    <w:name w:val="样式 12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1">
    <w:name w:val="样式 13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2">
    <w:name w:val="样式 13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3">
    <w:name w:val="样式 13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4">
    <w:name w:val="样式 13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5">
    <w:name w:val="样式 13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6">
    <w:name w:val="样式 13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7">
    <w:name w:val="样式 13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8">
    <w:name w:val="样式 13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79">
    <w:name w:val="样式 13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0">
    <w:name w:val="样式 13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1">
    <w:name w:val="样式 14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2">
    <w:name w:val="样式 14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3">
    <w:name w:val="样式 14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4">
    <w:name w:val="样式 14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5">
    <w:name w:val="样式 14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6">
    <w:name w:val="样式 14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7">
    <w:name w:val="样式 14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8">
    <w:name w:val="样式 14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89">
    <w:name w:val="样式 14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0">
    <w:name w:val="样式 14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1">
    <w:name w:val="样式 15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2">
    <w:name w:val="样式 15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3">
    <w:name w:val="样式 15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4">
    <w:name w:val="样式 15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5">
    <w:name w:val="样式 15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6">
    <w:name w:val="样式 15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7">
    <w:name w:val="样式 15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8">
    <w:name w:val="样式 15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199">
    <w:name w:val="样式 15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0">
    <w:name w:val="样式 15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1">
    <w:name w:val="样式 16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2">
    <w:name w:val="样式 16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3">
    <w:name w:val="样式 16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4">
    <w:name w:val="样式 16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5">
    <w:name w:val="样式 16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6">
    <w:name w:val="样式 16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7">
    <w:name w:val="样式 16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8">
    <w:name w:val="样式 16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09">
    <w:name w:val="样式 16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0">
    <w:name w:val="样式 16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1">
    <w:name w:val="样式 17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2">
    <w:name w:val="样式 17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3">
    <w:name w:val="样式 17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4">
    <w:name w:val="样式 17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5">
    <w:name w:val="样式 17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6">
    <w:name w:val="样式 17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7">
    <w:name w:val="样式 17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8">
    <w:name w:val="样式 17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19">
    <w:name w:val="样式 17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0">
    <w:name w:val="样式 17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1">
    <w:name w:val="样式 18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2">
    <w:name w:val="样式 18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3">
    <w:name w:val="样式 18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4">
    <w:name w:val="样式 18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5">
    <w:name w:val="样式 18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6">
    <w:name w:val="样式 18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7">
    <w:name w:val="样式 18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8">
    <w:name w:val="样式 18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29">
    <w:name w:val="样式 18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0">
    <w:name w:val="样式 18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1">
    <w:name w:val="样式 19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2">
    <w:name w:val="样式 19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3">
    <w:name w:val="样式 19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4">
    <w:name w:val="样式 19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5">
    <w:name w:val="样式 19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6">
    <w:name w:val="样式 19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7">
    <w:name w:val="样式 19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8">
    <w:name w:val="样式 19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9">
    <w:name w:val="样式 19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0">
    <w:name w:val="样式 19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1">
    <w:name w:val="样式 20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2">
    <w:name w:val="样式 20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3">
    <w:name w:val="样式 20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4">
    <w:name w:val="样式 20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5">
    <w:name w:val="样式 20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6">
    <w:name w:val="样式 20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7">
    <w:name w:val="样式 20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8">
    <w:name w:val="样式 20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9">
    <w:name w:val="样式 20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0">
    <w:name w:val="样式 20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1">
    <w:name w:val="样式 21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2">
    <w:name w:val="样式 21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3">
    <w:name w:val="样式 21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4">
    <w:name w:val="样式 21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5">
    <w:name w:val="样式 21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6">
    <w:name w:val="样式 21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7">
    <w:name w:val="样式 21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8">
    <w:name w:val="样式 21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9">
    <w:name w:val="样式 21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0">
    <w:name w:val="样式 21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1">
    <w:name w:val="样式 22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2">
    <w:name w:val="样式 22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3">
    <w:name w:val="样式 22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4">
    <w:name w:val="样式 22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5">
    <w:name w:val="样式 22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6">
    <w:name w:val="样式 22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7">
    <w:name w:val="样式 22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8">
    <w:name w:val="样式 22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69">
    <w:name w:val="样式 22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0">
    <w:name w:val="样式 22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1">
    <w:name w:val="样式 23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2">
    <w:name w:val="样式 23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3">
    <w:name w:val="样式 23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4">
    <w:name w:val="样式 23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5">
    <w:name w:val="样式 23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6">
    <w:name w:val="样式 23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7">
    <w:name w:val="样式 23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8">
    <w:name w:val="样式 23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79">
    <w:name w:val="样式 23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0">
    <w:name w:val="样式 23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1">
    <w:name w:val="样式 24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2">
    <w:name w:val="样式 24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3">
    <w:name w:val="样式 24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4">
    <w:name w:val="样式 24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5">
    <w:name w:val="样式 24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6">
    <w:name w:val="样式 24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7">
    <w:name w:val="样式 24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8">
    <w:name w:val="样式 24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89">
    <w:name w:val="样式 24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0">
    <w:name w:val="样式 24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1">
    <w:name w:val="样式 25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2">
    <w:name w:val="样式 25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3">
    <w:name w:val="样式 25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4">
    <w:name w:val="样式 25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5">
    <w:name w:val="样式 25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6">
    <w:name w:val="样式 25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7">
    <w:name w:val="样式 25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8">
    <w:name w:val="样式 25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99">
    <w:name w:val="样式 25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0">
    <w:name w:val="样式 25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1">
    <w:name w:val="样式 26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2">
    <w:name w:val="样式 26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3">
    <w:name w:val="样式 26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4">
    <w:name w:val="样式 26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5">
    <w:name w:val="样式 26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6">
    <w:name w:val="样式 26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7">
    <w:name w:val="样式 26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8">
    <w:name w:val="样式 26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09">
    <w:name w:val="样式 26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0">
    <w:name w:val="样式 26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1">
    <w:name w:val="样式 27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2">
    <w:name w:val="样式 27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3">
    <w:name w:val="样式 27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4">
    <w:name w:val="样式 27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5">
    <w:name w:val="样式 27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6">
    <w:name w:val="样式 27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7">
    <w:name w:val="样式 27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8">
    <w:name w:val="样式 277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19">
    <w:name w:val="样式 278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0">
    <w:name w:val="样式 279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1">
    <w:name w:val="样式 280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2">
    <w:name w:val="样式 281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3">
    <w:name w:val="样式 282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4">
    <w:name w:val="样式 283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5">
    <w:name w:val="样式 284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6">
    <w:name w:val="样式 285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7">
    <w:name w:val="样式 286 小三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30"/>
      <w:szCs w:val="30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328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29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0">
    <w:name w:val="样式 1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31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32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3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4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5">
    <w:name w:val="样式 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6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7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8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9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0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1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2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3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4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5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6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7">
    <w:name w:val="样式 43 三号"/>
    <w:next w:val="3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8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9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0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1">
    <w:name w:val="样式 44 三号"/>
    <w:next w:val="3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2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3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4">
    <w:name w:val="样式 25 三号"/>
    <w:link w:val="354Char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character" w:customStyle="1" w:styleId="354Char">
    <w:name w:val="样式 25 三号 Char"/>
    <w:basedOn w:val="10"/>
    <w:link w:val="354"/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55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6">
    <w:name w:val="样式 27 三号"/>
    <w:link w:val="356Char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character" w:customStyle="1" w:styleId="356Char">
    <w:name w:val="样式 27 三号 Char"/>
    <w:basedOn w:val="10"/>
    <w:link w:val="356"/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57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8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9">
    <w:name w:val="样式 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0">
    <w:name w:val="样式 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1">
    <w:name w:val="样式 10 磅"/>
    <w:next w:val="17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62">
    <w:name w:val="样式 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3">
    <w:name w:val="样式 33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64">
    <w:name w:val="样式 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5">
    <w:name w:val="样式 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6">
    <w:name w:val="样式 36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67">
    <w:name w:val="样式 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8">
    <w:name w:val="样式 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9">
    <w:name w:val="样式 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70">
    <w:name w:val="样式 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71">
    <w:name w:val="样式 4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72">
    <w:name w:val="样式 4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73">
    <w:name w:val="样式 45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74">
    <w:name w:val="样式 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75">
    <w:name w:val="样式 4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76">
    <w:name w:val="样式 4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77">
    <w:name w:val="样式 49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78">
    <w:name w:val="样式 5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79">
    <w:name w:val="样式 5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80">
    <w:name w:val="样式 5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473</TotalTime>
  <Application>Yozo_Office</Application>
  <Pages>7</Pages>
  <Words>2349</Words>
  <Characters>2399</Characters>
  <Lines>425</Lines>
  <Paragraphs>306</Paragraphs>
  <CharactersWithSpaces>2402</CharactersWithSpaces>
  <Company>湛江海关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黄娟娟</dc:creator>
  <cp:lastModifiedBy>林萍萍</cp:lastModifiedBy>
  <cp:revision>1</cp:revision>
  <dcterms:created xsi:type="dcterms:W3CDTF">2026-01-12T01:17:50Z</dcterms:created>
  <dcterms:modified xsi:type="dcterms:W3CDTF">2026-03-13T03:39:02Z</dcterms:modified>
</cp:coreProperties>
</file>