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jc w:val="center"/>
        <w:rPr>
          <w:rFonts w:ascii="黑体" w:eastAsia="黑体"/>
          <w:sz w:val="48"/>
          <w:szCs w:val="48"/>
        </w:rPr>
      </w:pPr>
      <w:bookmarkStart w:id="0" w:name="_GoBack"/>
      <w:bookmarkEnd w:id="0"/>
      <w:r>
        <w:rPr>
          <w:rFonts w:ascii="黑体" w:eastAsia="黑体"/>
          <w:sz w:val="48"/>
          <w:szCs w:val="48"/>
        </w:rPr>
        <w:drawing>
          <wp:inline distT="0" distB="0" distL="68578" distR="68578">
            <wp:extent cx="3061970" cy="3061970"/>
            <wp:effectExtent l="0" t="0" r="0" b="0"/>
            <wp:docPr id="1" name="图片 1"/>
            <wp:cNvGraphicFramePr>
              <a:graphicFrameLocks noChangeAspect="1"/>
            </wp:cNvGraphicFramePr>
            <a:graphic>
              <a:graphicData uri="http://schemas.openxmlformats.org/drawingml/2006/picture">
                <pic:pic>
                  <pic:nvPicPr>
                    <pic:cNvPr id="3" name="图片 1 3"/>
                    <pic:cNvPicPr/>
                  </pic:nvPicPr>
                  <pic:blipFill>
                    <a:blip r:embed="rId3"/>
                    <a:stretch>
                      <a:fillRect/>
                    </a:stretch>
                  </pic:blipFill>
                  <pic:spPr>
                    <a:xfrm rot="0">
                      <a:off x="0" y="0"/>
                      <a:ext cx="3061970" cy="3061970"/>
                    </a:xfrm>
                    <a:prstGeom prst="rect"/>
                    <a:solidFill>
                      <a:srgbClr val="FFFFFF"/>
                    </a:solidFill>
                    <a:ln w="9525" cmpd="sng" cap="flat">
                      <a:noFill/>
                      <a:prstDash val="solid"/>
                      <a:miter/>
                    </a:ln>
                  </pic:spPr>
                </pic:pic>
              </a:graphicData>
            </a:graphic>
          </wp:inline>
        </w:drawing>
      </w:r>
    </w:p>
    <w:p>
      <w:pPr>
        <w:jc w:val="center"/>
        <w:rPr>
          <w:rFonts w:ascii="黑体" w:eastAsia="黑体"/>
          <w:sz w:val="48"/>
          <w:szCs w:val="48"/>
        </w:rPr>
      </w:pPr>
    </w:p>
    <w:p>
      <w:pPr>
        <w:spacing w:line="1200" w:lineRule="exact"/>
        <w:jc w:val="center"/>
        <w:rPr>
          <w:rFonts w:ascii="方正小标宋_GBK" w:eastAsia="方正小标宋_GBK"/>
          <w:sz w:val="84"/>
          <w:szCs w:val="84"/>
        </w:rPr>
      </w:pPr>
      <w:r>
        <w:rPr>
          <w:rFonts w:ascii="方正小标宋_GBK" w:eastAsia="方正小标宋_GBK" w:hint="eastAsia"/>
          <w:sz w:val="84"/>
          <w:szCs w:val="84"/>
        </w:rPr>
        <w:t xml:space="preserve"> 茂名海关综合技术服务中心部门预算</w:t>
      </w:r>
    </w:p>
    <w:p>
      <w:pPr>
        <w:jc w:val="center"/>
        <w:rPr>
          <w:rFonts w:ascii="方正小标宋_GBK" w:eastAsia="方正小标宋_GBK"/>
          <w:sz w:val="44"/>
          <w:szCs w:val="44"/>
        </w:rPr>
      </w:pPr>
      <w:r>
        <w:rPr>
          <w:rFonts w:ascii="方正小标宋_GBK" w:eastAsia="方正小标宋_GBK" w:hint="eastAsia"/>
          <w:sz w:val="44"/>
          <w:szCs w:val="44"/>
        </w:rPr>
        <w:t>2025年</w:t>
      </w: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b/>
          <w:sz w:val="84"/>
          <w:szCs w:val="84"/>
        </w:rPr>
      </w:pPr>
      <w:r>
        <w:rPr>
          <w:rFonts w:hint="eastAsia"/>
          <w:b/>
          <w:sz w:val="84"/>
          <w:szCs w:val="84"/>
        </w:rPr>
        <w:t>目  录</w:t>
      </w:r>
    </w:p>
    <w:p>
      <w:pPr>
        <w:jc w:val="center"/>
        <w:rPr>
          <w:b/>
          <w:sz w:val="28"/>
          <w:szCs w:val="28"/>
        </w:rPr>
      </w:pPr>
    </w:p>
    <w:p>
      <w:pPr>
        <w:spacing w:line="640" w:lineRule="exact"/>
        <w:rPr>
          <w:b/>
          <w:sz w:val="44"/>
          <w:szCs w:val="44"/>
        </w:rPr>
      </w:pPr>
      <w:r>
        <w:rPr>
          <w:rFonts w:hint="eastAsia"/>
          <w:b/>
          <w:sz w:val="44"/>
          <w:szCs w:val="44"/>
        </w:rPr>
        <w:t>第一部分  部门概况</w:t>
      </w:r>
    </w:p>
    <w:p>
      <w:pPr>
        <w:pStyle w:val="27"/>
        <w:rPr>
          <w:sz w:val="36"/>
          <w:szCs w:val="36"/>
        </w:rPr>
      </w:pPr>
      <w:r>
        <w:rPr>
          <w:rFonts w:hint="eastAsia"/>
          <w:sz w:val="36"/>
          <w:szCs w:val="36"/>
        </w:rPr>
        <w:t>一、主要职能</w:t>
      </w:r>
    </w:p>
    <w:p>
      <w:pPr>
        <w:pStyle w:val="27"/>
        <w:rPr>
          <w:sz w:val="36"/>
          <w:szCs w:val="36"/>
        </w:rPr>
      </w:pPr>
      <w:r>
        <w:rPr>
          <w:rFonts w:hint="eastAsia"/>
          <w:sz w:val="36"/>
          <w:szCs w:val="36"/>
        </w:rPr>
        <w:t>二、单位构成情况</w:t>
      </w:r>
    </w:p>
    <w:p>
      <w:pPr>
        <w:rPr>
          <w:b/>
          <w:sz w:val="44"/>
          <w:szCs w:val="44"/>
        </w:rPr>
      </w:pPr>
      <w:r>
        <w:rPr>
          <w:rFonts w:hint="eastAsia"/>
          <w:b/>
          <w:sz w:val="44"/>
          <w:szCs w:val="44"/>
        </w:rPr>
        <w:t>第二部分  202</w:t>
      </w:r>
      <w:r>
        <w:rPr>
          <w:b/>
          <w:sz w:val="44"/>
          <w:szCs w:val="44"/>
        </w:rPr>
        <w:t>5</w:t>
      </w:r>
      <w:r>
        <w:rPr>
          <w:rFonts w:hint="eastAsia"/>
          <w:b/>
          <w:sz w:val="44"/>
          <w:szCs w:val="44"/>
        </w:rPr>
        <w:t>年部门预算表</w:t>
      </w:r>
    </w:p>
    <w:p>
      <w:pPr>
        <w:pStyle w:val="27"/>
        <w:rPr>
          <w:sz w:val="36"/>
          <w:szCs w:val="36"/>
        </w:rPr>
      </w:pPr>
      <w:r>
        <w:rPr>
          <w:rFonts w:hint="eastAsia"/>
          <w:sz w:val="36"/>
          <w:szCs w:val="36"/>
        </w:rPr>
        <w:t>一、部门收支总表</w:t>
      </w:r>
    </w:p>
    <w:p>
      <w:pPr>
        <w:pStyle w:val="27"/>
        <w:rPr>
          <w:sz w:val="36"/>
          <w:szCs w:val="36"/>
        </w:rPr>
      </w:pPr>
      <w:r>
        <w:rPr>
          <w:rFonts w:hint="eastAsia"/>
          <w:sz w:val="36"/>
          <w:szCs w:val="36"/>
        </w:rPr>
        <w:t>二、部门收入总表</w:t>
      </w:r>
    </w:p>
    <w:p>
      <w:pPr>
        <w:pStyle w:val="27"/>
        <w:rPr>
          <w:sz w:val="36"/>
          <w:szCs w:val="36"/>
        </w:rPr>
      </w:pPr>
      <w:r>
        <w:rPr>
          <w:rFonts w:hint="eastAsia"/>
          <w:sz w:val="36"/>
          <w:szCs w:val="36"/>
        </w:rPr>
        <w:t>三、部门支出总表</w:t>
      </w:r>
    </w:p>
    <w:p>
      <w:pPr>
        <w:pStyle w:val="27"/>
        <w:rPr>
          <w:sz w:val="36"/>
          <w:szCs w:val="36"/>
        </w:rPr>
      </w:pPr>
      <w:r>
        <w:rPr>
          <w:rFonts w:hint="eastAsia"/>
          <w:sz w:val="36"/>
          <w:szCs w:val="36"/>
        </w:rPr>
        <w:t>四、财政拨款收支总表</w:t>
      </w:r>
    </w:p>
    <w:p>
      <w:pPr>
        <w:pStyle w:val="27"/>
        <w:rPr>
          <w:sz w:val="36"/>
          <w:szCs w:val="36"/>
        </w:rPr>
      </w:pPr>
      <w:r>
        <w:rPr>
          <w:rFonts w:hint="eastAsia"/>
          <w:sz w:val="36"/>
          <w:szCs w:val="36"/>
        </w:rPr>
        <w:t>五、一般公共预算支出表</w:t>
      </w:r>
    </w:p>
    <w:p>
      <w:pPr>
        <w:pStyle w:val="27"/>
        <w:rPr>
          <w:sz w:val="36"/>
          <w:szCs w:val="36"/>
        </w:rPr>
      </w:pPr>
      <w:r>
        <w:rPr>
          <w:rFonts w:hint="eastAsia"/>
          <w:sz w:val="36"/>
          <w:szCs w:val="36"/>
        </w:rPr>
        <w:t>六、一般公共预算基本支出表</w:t>
      </w:r>
    </w:p>
    <w:p>
      <w:pPr>
        <w:rPr>
          <w:sz w:val="36"/>
          <w:szCs w:val="36"/>
        </w:rPr>
      </w:pPr>
      <w:r>
        <w:rPr>
          <w:rFonts w:hint="eastAsia"/>
          <w:sz w:val="36"/>
          <w:szCs w:val="36"/>
        </w:rPr>
        <w:t>七、</w:t>
      </w:r>
      <w:r>
        <w:rPr>
          <w:sz w:val="36"/>
          <w:szCs w:val="36"/>
        </w:rPr>
        <w:t>政府性基金预算支出表</w:t>
      </w:r>
    </w:p>
    <w:p>
      <w:pPr>
        <w:rPr>
          <w:sz w:val="36"/>
          <w:szCs w:val="36"/>
        </w:rPr>
      </w:pPr>
      <w:r>
        <w:rPr>
          <w:rFonts w:hint="eastAsia"/>
          <w:sz w:val="36"/>
          <w:szCs w:val="36"/>
        </w:rPr>
        <w:t>八、</w:t>
      </w:r>
      <w:r>
        <w:rPr>
          <w:sz w:val="36"/>
          <w:szCs w:val="36"/>
        </w:rPr>
        <w:t>国有资本经营预算支出表</w:t>
      </w:r>
    </w:p>
    <w:p>
      <w:pPr>
        <w:rPr>
          <w:sz w:val="36"/>
          <w:szCs w:val="36"/>
        </w:rPr>
      </w:pPr>
      <w:r>
        <w:rPr>
          <w:sz w:val="36"/>
          <w:szCs w:val="36"/>
        </w:rPr>
        <w:t>九、</w:t>
      </w:r>
      <w:r>
        <w:rPr>
          <w:rFonts w:cs="宋体" w:hint="eastAsia"/>
          <w:sz w:val="36"/>
          <w:szCs w:val="36"/>
        </w:rPr>
        <w:t>财政拨款预算“三公”经费支出表</w:t>
      </w:r>
    </w:p>
    <w:p>
      <w:pPr>
        <w:rPr>
          <w:b/>
          <w:sz w:val="44"/>
          <w:szCs w:val="44"/>
        </w:rPr>
      </w:pPr>
      <w:r>
        <w:rPr>
          <w:rFonts w:hint="eastAsia"/>
          <w:b/>
          <w:sz w:val="44"/>
          <w:szCs w:val="44"/>
        </w:rPr>
        <w:t>第三部分  202</w:t>
      </w:r>
      <w:r>
        <w:rPr>
          <w:b/>
          <w:sz w:val="44"/>
          <w:szCs w:val="44"/>
        </w:rPr>
        <w:t>5</w:t>
      </w:r>
      <w:r>
        <w:rPr>
          <w:rFonts w:hint="eastAsia"/>
          <w:b/>
          <w:sz w:val="44"/>
          <w:szCs w:val="44"/>
        </w:rPr>
        <w:t>年部门预算情况说明</w:t>
      </w:r>
    </w:p>
    <w:p>
      <w:pPr>
        <w:rPr>
          <w:b/>
          <w:sz w:val="44"/>
          <w:szCs w:val="44"/>
        </w:rPr>
      </w:pPr>
      <w:r>
        <w:rPr>
          <w:rFonts w:hint="eastAsia"/>
          <w:b/>
          <w:sz w:val="44"/>
          <w:szCs w:val="44"/>
        </w:rPr>
        <w:t>第四部分  名词解释</w:t>
      </w:r>
    </w:p>
    <w:p>
      <w:pPr>
        <w:rPr>
          <w:rFonts w:ascii="宋体"/>
          <w:b/>
          <w:sz w:val="44"/>
          <w:szCs w:val="44"/>
        </w:rPr>
      </w:pPr>
      <w:r>
        <w:rPr>
          <w:rFonts w:ascii="宋体" w:hint="eastAsia"/>
          <w:b/>
          <w:sz w:val="44"/>
          <w:szCs w:val="44"/>
        </w:rPr>
        <w:t>第五部分附件</w:t>
      </w:r>
      <w:r>
        <w:rPr>
          <w:rFonts w:ascii="宋体"/>
          <w:b/>
          <w:sz w:val="44"/>
          <w:szCs w:val="44"/>
        </w:rPr>
        <w:br w:type="page"/>
      </w:r>
    </w:p>
    <w:p>
      <w:pPr>
        <w:rPr>
          <w:rFonts w:ascii="宋体"/>
          <w:b/>
          <w:sz w:val="44"/>
          <w:szCs w:val="44"/>
        </w:rPr>
      </w:pPr>
    </w:p>
    <w:p>
      <w:pPr>
        <w:rPr>
          <w:rFonts w:ascii="宋体"/>
          <w:b/>
          <w:sz w:val="44"/>
          <w:szCs w:val="44"/>
        </w:rPr>
      </w:pPr>
    </w:p>
    <w:p>
      <w:pPr>
        <w:rPr>
          <w:rFonts w:ascii="宋体"/>
          <w:b/>
          <w:sz w:val="44"/>
          <w:szCs w:val="44"/>
        </w:rPr>
      </w:pPr>
    </w:p>
    <w:p>
      <w:pPr>
        <w:rPr>
          <w:rFonts w:ascii="宋体"/>
          <w:b/>
          <w:sz w:val="44"/>
          <w:szCs w:val="44"/>
        </w:rPr>
      </w:pPr>
    </w:p>
    <w:p>
      <w:pPr>
        <w:rPr>
          <w:rFonts w:ascii="宋体"/>
          <w:b/>
          <w:sz w:val="44"/>
          <w:szCs w:val="44"/>
        </w:rPr>
      </w:pPr>
    </w:p>
    <w:p>
      <w:pPr>
        <w:rPr>
          <w:rFonts w:ascii="宋体"/>
          <w:b/>
          <w:sz w:val="44"/>
          <w:szCs w:val="44"/>
        </w:rPr>
      </w:pPr>
    </w:p>
    <w:p>
      <w:pPr>
        <w:rPr>
          <w:b/>
          <w:sz w:val="44"/>
          <w:szCs w:val="44"/>
        </w:rPr>
      </w:pPr>
    </w:p>
    <w:p>
      <w:pPr>
        <w:jc w:val="center"/>
        <w:rPr>
          <w:b/>
          <w:sz w:val="84"/>
          <w:szCs w:val="84"/>
        </w:rPr>
      </w:pPr>
      <w:r>
        <w:rPr>
          <w:rFonts w:hint="eastAsia"/>
          <w:b/>
          <w:sz w:val="84"/>
          <w:szCs w:val="84"/>
        </w:rPr>
        <w:t>第一部分</w:t>
      </w:r>
    </w:p>
    <w:p>
      <w:pPr>
        <w:jc w:val="center"/>
        <w:rPr>
          <w:b/>
          <w:sz w:val="84"/>
          <w:szCs w:val="84"/>
        </w:rPr>
      </w:pPr>
      <w:r>
        <w:rPr>
          <w:rFonts w:hint="eastAsia"/>
          <w:b/>
          <w:sz w:val="84"/>
          <w:szCs w:val="84"/>
        </w:rPr>
        <w:t>部门概况</w:t>
      </w:r>
    </w:p>
    <w:p>
      <w:pPr>
        <w:ind w:left="420"/>
        <w:rPr>
          <w:b/>
          <w:sz w:val="84"/>
          <w:szCs w:val="84"/>
        </w:rPr>
      </w:pPr>
    </w:p>
    <w:p>
      <w:pPr>
        <w:ind w:left="420"/>
        <w:rPr>
          <w:b/>
          <w:sz w:val="84"/>
          <w:szCs w:val="84"/>
        </w:rPr>
      </w:pPr>
    </w:p>
    <w:p>
      <w:pPr>
        <w:ind w:left="420"/>
        <w:rPr>
          <w:b/>
          <w:sz w:val="84"/>
          <w:szCs w:val="84"/>
        </w:rPr>
      </w:pPr>
    </w:p>
    <w:p>
      <w:pPr>
        <w:ind w:left="420"/>
        <w:rPr>
          <w:b/>
          <w:sz w:val="84"/>
          <w:szCs w:val="84"/>
        </w:rPr>
      </w:pPr>
    </w:p>
    <w:p>
      <w:pPr>
        <w:ind w:left="420"/>
        <w:rPr>
          <w:b/>
          <w:sz w:val="84"/>
          <w:szCs w:val="84"/>
        </w:rPr>
      </w:pPr>
    </w:p>
    <w:p>
      <w:pPr>
        <w:ind w:left="420"/>
        <w:rPr>
          <w:rFonts w:eastAsia="方正黑体_GBK"/>
          <w:sz w:val="32"/>
          <w:szCs w:val="32"/>
        </w:rPr>
      </w:pPr>
      <w:r>
        <w:rPr>
          <w:b/>
          <w:sz w:val="84"/>
          <w:szCs w:val="84"/>
        </w:rPr>
        <w:br w:type="page"/>
      </w:r>
      <w:r>
        <w:rPr>
          <w:rFonts w:ascii="方正黑体_GBK" w:eastAsia="方正黑体_GBK" w:cs="方正黑体_GBK" w:hint="eastAsia"/>
          <w:sz w:val="32"/>
          <w:szCs w:val="32"/>
        </w:rPr>
        <w:t xml:space="preserve"> 一、主要职能</w:t>
      </w:r>
    </w:p>
    <w:p>
      <w:pPr>
        <w:pStyle w:val="506"/>
        <w:snapToGrid w:val="0"/>
        <w:spacing w:line="24" w:lineRule="atLeast"/>
        <w:ind w:firstLineChars="200" w:firstLine="640"/>
        <w:rPr>
          <w:rFonts w:eastAsia="方正仿宋_GBK"/>
          <w:sz w:val="32"/>
          <w:szCs w:val="32"/>
        </w:rPr>
      </w:pPr>
      <w:r>
        <w:rPr>
          <w:rFonts w:eastAsia="方正仿宋_GBK" w:hint="eastAsia"/>
          <w:sz w:val="32"/>
          <w:szCs w:val="32"/>
        </w:rPr>
        <w:t>茂名海关综合技术服务中心（以下简称茂名关中心）是隶属于中华人民共和国湛江海关的正科级事业单位，其主要职责是：承担茂名海关辖区进出口食品、化妆品、商品、动植物及其产品的实验室检验检疫和检测鉴定工作；承担与海关业务相关的检验检疫技术研究、技术开发、技术咨询和标准的制（修）订工作；承担茂名口岸出入境人员的预防接种、健康检查、国际旅行健康咨询、医疗服务，以及茂名口岸传染病的监测与防控工作；承担私货仓库的仓储管理及服务工作；承担茂名海关后勤保障服务工作；承接社会委托检验检测服务；承接保洁、清洗、消毒服务；承接病媒生物监测及防制服务；承接有害生物防制服务（非进出口环节）；承接住宿服务；承接物业管理服务；承接小微型客车租赁经营服务。</w:t>
      </w:r>
    </w:p>
    <w:p>
      <w:pPr>
        <w:spacing w:line="560" w:lineRule="exact"/>
        <w:ind w:firstLineChars="200" w:firstLine="640"/>
        <w:rPr>
          <w:rFonts w:ascii="方正黑体_GBK" w:eastAsia="方正黑体_GBK" w:cs="方正黑体_GBK"/>
          <w:sz w:val="32"/>
          <w:szCs w:val="32"/>
        </w:rPr>
      </w:pPr>
      <w:r>
        <w:rPr>
          <w:rFonts w:ascii="方正黑体_GBK" w:eastAsia="方正黑体_GBK" w:cs="方正黑体_GBK" w:hint="eastAsia"/>
          <w:sz w:val="32"/>
          <w:szCs w:val="32"/>
        </w:rPr>
        <w:t>二、茂名海关综合技术服务中心系统单位构成情况</w:t>
      </w:r>
    </w:p>
    <w:p>
      <w:pPr>
        <w:spacing w:line="360" w:lineRule="auto"/>
        <w:ind w:firstLineChars="200" w:firstLine="640"/>
        <w:rPr>
          <w:rFonts w:eastAsia="方正仿宋_GBK"/>
          <w:sz w:val="32"/>
          <w:szCs w:val="32"/>
        </w:rPr>
      </w:pPr>
      <w:r>
        <w:rPr>
          <w:rFonts w:eastAsia="方正仿宋_GBK" w:hint="eastAsia"/>
          <w:sz w:val="32"/>
          <w:szCs w:val="32"/>
        </w:rPr>
        <w:t>茂名海关综合技术服务中心是茂名海关下属正科级事业单位，没有内设机构。</w:t>
      </w:r>
    </w:p>
    <w:p>
      <w:pPr>
        <w:pStyle w:val="27"/>
        <w:ind w:firstLineChars="200" w:firstLine="640"/>
        <w:rPr>
          <w:rFonts w:eastAsia="方正仿宋_GBK"/>
          <w:sz w:val="32"/>
          <w:szCs w:val="32"/>
        </w:rPr>
      </w:pPr>
      <w:r>
        <w:rPr>
          <w:rFonts w:eastAsia="方正仿宋_GBK" w:hint="eastAsia"/>
          <w:sz w:val="32"/>
          <w:szCs w:val="32"/>
        </w:rPr>
        <w:t>纳入茂名海关综合技术服务中心</w:t>
      </w:r>
      <w:r>
        <w:rPr>
          <w:rFonts w:eastAsia="方正仿宋_GBK"/>
          <w:sz w:val="32"/>
          <w:szCs w:val="32"/>
        </w:rPr>
        <w:t>2025</w:t>
      </w:r>
      <w:r>
        <w:rPr>
          <w:rFonts w:eastAsia="方正仿宋_GBK" w:hint="eastAsia"/>
          <w:sz w:val="32"/>
          <w:szCs w:val="32"/>
        </w:rPr>
        <w:t>年预算编制范围的单位如下：</w:t>
      </w:r>
    </w:p>
    <w:tbl>
      <w:tblPr>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CellMar>
          <w:top w:w="0" w:type="dxa"/>
          <w:left w:w="108" w:type="dxa"/>
          <w:bottom w:w="0" w:type="dxa"/>
          <w:right w:w="108" w:type="dxa"/>
        </w:tblCellMar>
      </w:tblPr>
      <w:tblGrid>
        <w:gridCol w:w="581"/>
        <w:gridCol w:w="6982"/>
      </w:tblGrid>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7"/>
              <w:jc w:val="center"/>
              <w:rPr>
                <w:rFonts w:ascii="方正小标宋_GBK" w:eastAsia="方正小标宋_GBK"/>
                <w:sz w:val="18"/>
                <w:szCs w:val="18"/>
              </w:rPr>
            </w:pPr>
            <w:r>
              <w:rPr>
                <w:rFonts w:ascii="方正小标宋_GBK" w:eastAsia="方正小标宋_GBK" w:hint="eastAsia"/>
                <w:sz w:val="18"/>
                <w:szCs w:val="18"/>
              </w:rPr>
              <w:t>序号</w:t>
            </w:r>
          </w:p>
        </w:tc>
        <w:tc>
          <w:tcPr>
            <w:tcW w:w="6982"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7"/>
              <w:jc w:val="center"/>
              <w:rPr>
                <w:rFonts w:ascii="方正小标宋_GBK" w:eastAsia="方正小标宋_GBK"/>
                <w:sz w:val="18"/>
                <w:szCs w:val="18"/>
              </w:rPr>
            </w:pPr>
            <w:r>
              <w:rPr>
                <w:rFonts w:ascii="方正小标宋_GBK" w:eastAsia="方正小标宋_GBK" w:hint="eastAsia"/>
                <w:sz w:val="18"/>
                <w:szCs w:val="18"/>
              </w:rPr>
              <w:t>单位</w:t>
            </w:r>
          </w:p>
        </w:tc>
      </w:tr>
      <w:tr>
        <w:trPr>
          <w:trHeight w:val="391"/>
        </w:trPr>
        <w:tc>
          <w:tcPr>
            <w:tcW w:w="581"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8"/>
              <w:widowControl/>
              <w:jc w:val="center"/>
              <w:rPr>
                <w:rFonts w:ascii="宋体" w:cs="Arial"/>
                <w:kern w:val="0"/>
                <w:sz w:val="20"/>
                <w:szCs w:val="20"/>
              </w:rPr>
            </w:pPr>
            <w:r>
              <w:rPr>
                <w:rFonts w:ascii="宋体" w:cs="Arial" w:hint="eastAsia"/>
                <w:kern w:val="0"/>
                <w:sz w:val="20"/>
                <w:szCs w:val="20"/>
              </w:rPr>
              <w:t>1</w:t>
            </w:r>
          </w:p>
        </w:tc>
        <w:tc>
          <w:tcPr>
            <w:tcW w:w="6982" w:type="dxa"/>
            <w:tcBorders>
              <w:top w:val="single" w:sz="4" w:space="0" w:color="auto"/>
              <w:left w:val="single" w:sz="4" w:space="0" w:color="auto"/>
              <w:bottom w:val="single" w:sz="4" w:space="0" w:color="auto"/>
              <w:right w:val="single" w:sz="4" w:space="0" w:color="auto"/>
              <w:tl2br w:val="nil"/>
              <w:tr2bl w:val="nil"/>
            </w:tcBorders>
            <w:noWrap/>
            <w:vAlign w:val="center"/>
          </w:tcPr>
          <w:p>
            <w:pPr>
              <w:pStyle w:val="28"/>
              <w:widowControl/>
              <w:jc w:val="left"/>
              <w:rPr>
                <w:rFonts w:ascii="宋体" w:cs="Arial"/>
                <w:kern w:val="0"/>
                <w:sz w:val="20"/>
                <w:szCs w:val="20"/>
              </w:rPr>
            </w:pPr>
            <w:r>
              <w:rPr>
                <w:rFonts w:ascii="宋体" w:cs="Arial" w:hint="eastAsia"/>
                <w:kern w:val="0"/>
                <w:sz w:val="20"/>
                <w:szCs w:val="20"/>
              </w:rPr>
              <w:t>茂名海关综合技术服务中心</w:t>
            </w:r>
          </w:p>
        </w:tc>
      </w:tr>
    </w:tbl>
    <w:p>
      <w:pPr>
        <w:pStyle w:val="27"/>
      </w:pPr>
    </w:p>
    <w:p/>
    <w:p/>
    <w:p/>
    <w:p/>
    <w:p/>
    <w:p/>
    <w:p/>
    <w:p/>
    <w:p/>
    <w:p/>
    <w:p>
      <w:pPr>
        <w:jc w:val="center"/>
        <w:rPr>
          <w:b/>
          <w:sz w:val="72"/>
          <w:szCs w:val="72"/>
        </w:rPr>
      </w:pPr>
    </w:p>
    <w:p>
      <w:pPr>
        <w:jc w:val="center"/>
        <w:rPr>
          <w:b/>
          <w:sz w:val="72"/>
          <w:szCs w:val="72"/>
        </w:rPr>
      </w:pPr>
    </w:p>
    <w:p>
      <w:pPr>
        <w:jc w:val="center"/>
        <w:rPr>
          <w:b/>
          <w:sz w:val="72"/>
          <w:szCs w:val="72"/>
        </w:rPr>
      </w:pPr>
    </w:p>
    <w:p>
      <w:pPr>
        <w:jc w:val="center"/>
        <w:rPr>
          <w:b/>
          <w:sz w:val="72"/>
          <w:szCs w:val="72"/>
        </w:rPr>
      </w:pPr>
    </w:p>
    <w:p>
      <w:pPr>
        <w:jc w:val="center"/>
        <w:rPr>
          <w:b/>
          <w:sz w:val="72"/>
          <w:szCs w:val="72"/>
        </w:rPr>
      </w:pPr>
    </w:p>
    <w:p>
      <w:pPr>
        <w:jc w:val="center"/>
        <w:rPr>
          <w:rFonts w:ascii="方正小标宋_GBK" w:eastAsia="方正小标宋_GBK"/>
          <w:sz w:val="84"/>
          <w:szCs w:val="84"/>
        </w:rPr>
      </w:pPr>
      <w:r>
        <w:rPr>
          <w:rFonts w:ascii="方正小标宋_GBK" w:eastAsia="方正小标宋_GBK" w:hint="eastAsia"/>
          <w:sz w:val="84"/>
          <w:szCs w:val="84"/>
        </w:rPr>
        <w:t>第二部分</w:t>
      </w:r>
    </w:p>
    <w:p>
      <w:pPr>
        <w:jc w:val="center"/>
        <w:rPr>
          <w:rFonts w:ascii="方正小标宋_GBK" w:eastAsia="方正小标宋_GBK"/>
          <w:sz w:val="84"/>
          <w:szCs w:val="84"/>
        </w:rPr>
      </w:pPr>
      <w:r>
        <w:rPr>
          <w:rFonts w:ascii="方正小标宋_GBK" w:eastAsia="方正小标宋_GBK"/>
          <w:sz w:val="84"/>
          <w:szCs w:val="84"/>
        </w:rPr>
        <w:t>2025</w:t>
      </w:r>
      <w:r>
        <w:rPr>
          <w:rFonts w:ascii="方正小标宋_GBK" w:eastAsia="方正小标宋_GBK" w:hint="eastAsia"/>
          <w:sz w:val="84"/>
          <w:szCs w:val="84"/>
        </w:rPr>
        <w:t>年部门预算表</w:t>
      </w:r>
    </w:p>
    <w:p>
      <w:pPr>
        <w:jc w:val="center"/>
        <w:rPr>
          <w:rFonts w:ascii="方正小标宋_GBK" w:eastAsia="方正小标宋_GBK"/>
          <w:sz w:val="84"/>
          <w:szCs w:val="84"/>
        </w:rPr>
      </w:pPr>
    </w:p>
    <w:p>
      <w:pPr>
        <w:jc w:val="center"/>
        <w:rPr>
          <w:rFonts w:ascii="方正小标宋_GBK" w:eastAsia="方正小标宋_GBK"/>
          <w:sz w:val="84"/>
          <w:szCs w:val="84"/>
        </w:rPr>
      </w:pPr>
    </w:p>
    <w:p>
      <w:pPr>
        <w:jc w:val="center"/>
        <w:rPr>
          <w:rFonts w:ascii="方正小标宋_GBK" w:eastAsia="方正小标宋_GBK"/>
          <w:sz w:val="84"/>
          <w:szCs w:val="84"/>
        </w:rPr>
      </w:pPr>
    </w:p>
    <w:p/>
    <w:p/>
    <w:p>
      <w:pPr>
        <w:sectPr>
          <w:footerReference w:type="default" r:id="rId2"/>
          <w:pgSz w:w="11906" w:h="16838"/>
          <w:pgMar w:top="1440" w:right="1797" w:bottom="1440" w:left="1797" w:header="851" w:footer="992" w:gutter="0"/>
          <w:docGrid w:type="linesAndChars" w:linePitch="312" w:charSpace="0"/>
        </w:sectPr>
      </w:pPr>
    </w:p>
    <w:tbl>
      <w:tblPr>
        <w:jc w:val="left"/>
        <w:tblInd w:w="1661" w:type="dxa"/>
        <w:tblW w:w="1248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578"/>
        <w:gridCol w:w="965"/>
        <w:gridCol w:w="2004"/>
        <w:gridCol w:w="2999"/>
        <w:gridCol w:w="926"/>
        <w:gridCol w:w="2009"/>
      </w:tblGrid>
      <w:tr>
        <w:trPr>
          <w:trHeight w:val="239"/>
        </w:trPr>
        <w:tc>
          <w:tcPr>
            <w:tcW w:w="3578" w:type="dxa"/>
            <w:tcBorders>
              <w:top w:val="nil"/>
              <w:left w:val="nil"/>
              <w:bottom w:val="nil"/>
              <w:right w:val="nil"/>
              <w:tl2br w:val="nil"/>
              <w:tr2bl w:val="nil"/>
            </w:tcBorders>
            <w:noWrap/>
            <w:vAlign w:val="center"/>
          </w:tcPr>
          <w:p>
            <w:pPr>
              <w:jc w:val="center"/>
              <w:rPr>
                <w:sz w:val="24"/>
              </w:rPr>
            </w:pPr>
          </w:p>
        </w:tc>
        <w:tc>
          <w:tcPr>
            <w:tcW w:w="2969" w:type="dxa"/>
            <w:gridSpan w:val="2"/>
            <w:tcBorders>
              <w:top w:val="nil"/>
              <w:left w:val="nil"/>
              <w:bottom w:val="nil"/>
              <w:right w:val="nil"/>
              <w:tl2br w:val="nil"/>
              <w:tr2bl w:val="nil"/>
            </w:tcBorders>
            <w:noWrap/>
            <w:vAlign w:val="center"/>
          </w:tcPr>
          <w:p>
            <w:pPr>
              <w:jc w:val="center"/>
              <w:rPr>
                <w:sz w:val="24"/>
              </w:rPr>
            </w:pPr>
          </w:p>
        </w:tc>
        <w:tc>
          <w:tcPr>
            <w:tcW w:w="2999" w:type="dxa"/>
            <w:tcBorders>
              <w:top w:val="nil"/>
              <w:left w:val="nil"/>
              <w:bottom w:val="nil"/>
              <w:right w:val="nil"/>
              <w:tl2br w:val="nil"/>
              <w:tr2bl w:val="nil"/>
            </w:tcBorders>
            <w:noWrap/>
            <w:vAlign w:val="center"/>
          </w:tcPr>
          <w:p>
            <w:pPr>
              <w:rPr>
                <w:sz w:val="24"/>
              </w:rPr>
            </w:pPr>
          </w:p>
          <w:p>
            <w:pPr>
              <w:jc w:val="center"/>
              <w:rPr>
                <w:sz w:val="24"/>
              </w:rPr>
            </w:pPr>
          </w:p>
          <w:p>
            <w:pPr>
              <w:jc w:val="center"/>
              <w:rPr>
                <w:sz w:val="24"/>
              </w:rPr>
            </w:pPr>
          </w:p>
        </w:tc>
        <w:tc>
          <w:tcPr>
            <w:tcW w:w="2935" w:type="dxa"/>
            <w:gridSpan w:val="2"/>
            <w:tcBorders>
              <w:top w:val="nil"/>
              <w:left w:val="nil"/>
              <w:bottom w:val="nil"/>
              <w:right w:val="nil"/>
              <w:tl2br w:val="nil"/>
              <w:tr2bl w:val="nil"/>
            </w:tcBorders>
            <w:noWrap/>
            <w:vAlign w:val="center"/>
          </w:tcPr>
          <w:p>
            <w:pPr>
              <w:jc w:val="right"/>
              <w:rPr>
                <w:rFonts w:ascii="宋体"/>
                <w:b/>
                <w:sz w:val="18"/>
              </w:rPr>
            </w:pPr>
            <w:r>
              <w:rPr>
                <w:rFonts w:ascii="宋体"/>
                <w:b/>
                <w:sz w:val="18"/>
              </w:rPr>
              <w:t>部门公开表1</w:t>
            </w:r>
          </w:p>
        </w:tc>
      </w:tr>
      <w:tr>
        <w:trPr>
          <w:trHeight w:val="239"/>
        </w:trPr>
        <w:tc>
          <w:tcPr>
            <w:tcW w:w="12481" w:type="dxa"/>
            <w:gridSpan w:val="6"/>
            <w:tcBorders>
              <w:top w:val="nil"/>
              <w:left w:val="nil"/>
              <w:bottom w:val="nil"/>
              <w:right w:val="nil"/>
              <w:tl2br w:val="nil"/>
              <w:tr2bl w:val="nil"/>
            </w:tcBorders>
            <w:noWrap/>
            <w:vAlign w:val="center"/>
          </w:tcPr>
          <w:p>
            <w:pPr>
              <w:jc w:val="center"/>
              <w:rPr>
                <w:rFonts w:ascii="宋体"/>
                <w:b/>
                <w:sz w:val="36"/>
                <w:szCs w:val="36"/>
              </w:rPr>
            </w:pPr>
            <w:r>
              <w:rPr>
                <w:rFonts w:hint="eastAsia"/>
                <w:b/>
                <w:sz w:val="36"/>
                <w:szCs w:val="36"/>
              </w:rPr>
              <w:t>部门收支总表</w:t>
            </w:r>
          </w:p>
        </w:tc>
      </w:tr>
      <w:tr>
        <w:trPr>
          <w:trHeight w:val="260"/>
        </w:trPr>
        <w:tc>
          <w:tcPr>
            <w:tcW w:w="9546" w:type="dxa"/>
            <w:gridSpan w:val="4"/>
            <w:tcBorders>
              <w:top w:val="nil"/>
              <w:left w:val="nil"/>
              <w:bottom w:val="nil"/>
              <w:right w:val="nil"/>
              <w:tl2br w:val="nil"/>
              <w:tr2bl w:val="nil"/>
            </w:tcBorders>
            <w:noWrap/>
            <w:vAlign w:val="center"/>
          </w:tcPr>
          <w:p>
            <w:pPr>
              <w:jc w:val="center"/>
              <w:rPr>
                <w:rFonts w:ascii="宋体"/>
                <w:sz w:val="18"/>
              </w:rPr>
            </w:pPr>
          </w:p>
        </w:tc>
        <w:tc>
          <w:tcPr>
            <w:tcW w:w="2935" w:type="dxa"/>
            <w:gridSpan w:val="2"/>
            <w:tcBorders>
              <w:top w:val="nil"/>
              <w:left w:val="nil"/>
              <w:bottom w:val="nil"/>
              <w:right w:val="nil"/>
              <w:tl2br w:val="nil"/>
              <w:tr2bl w:val="nil"/>
            </w:tcBorders>
            <w:noWrap/>
            <w:vAlign w:val="center"/>
          </w:tcPr>
          <w:p>
            <w:pPr>
              <w:jc w:val="right"/>
              <w:rPr>
                <w:rFonts w:ascii="宋体"/>
                <w:sz w:val="18"/>
              </w:rPr>
            </w:pPr>
            <w:r>
              <w:rPr>
                <w:rFonts w:ascii="宋体"/>
                <w:sz w:val="18"/>
              </w:rPr>
              <w:t>单位：万元</w:t>
            </w:r>
          </w:p>
        </w:tc>
      </w:tr>
      <w:tr>
        <w:trPr>
          <w:trHeight w:val="238"/>
        </w:trPr>
        <w:tc>
          <w:tcPr>
            <w:tcW w:w="654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收      入</w:t>
            </w:r>
          </w:p>
        </w:tc>
        <w:tc>
          <w:tcPr>
            <w:tcW w:w="5934"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支      出</w:t>
            </w:r>
          </w:p>
        </w:tc>
      </w:tr>
      <w:tr>
        <w:trPr>
          <w:trHeight w:val="238"/>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项    目</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预算数</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项    目</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预算数</w:t>
            </w: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ind w:right="-313"/>
              <w:jc w:val="left"/>
              <w:rPr>
                <w:rFonts w:ascii="宋体"/>
                <w:sz w:val="28"/>
                <w:szCs w:val="28"/>
              </w:rPr>
            </w:pPr>
            <w:r>
              <w:rPr>
                <w:rFonts w:ascii="宋体"/>
                <w:sz w:val="28"/>
                <w:szCs w:val="28"/>
              </w:rPr>
              <w:t>一、一般公共预算拨款收入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hint="eastAsia"/>
                <w:sz w:val="28"/>
                <w:szCs w:val="28"/>
              </w:rPr>
              <w:t>5</w:t>
            </w:r>
            <w:r>
              <w:rPr>
                <w:rFonts w:ascii="宋体"/>
                <w:sz w:val="28"/>
                <w:szCs w:val="28"/>
              </w:rPr>
              <w:t>1</w:t>
            </w:r>
            <w:r>
              <w:rPr>
                <w:rFonts w:ascii="宋体" w:hint="eastAsia"/>
                <w:sz w:val="28"/>
                <w:szCs w:val="28"/>
              </w:rPr>
              <w:t>4.</w:t>
            </w:r>
            <w:r>
              <w:rPr>
                <w:rFonts w:ascii="宋体"/>
                <w:sz w:val="28"/>
                <w:szCs w:val="28"/>
              </w:rPr>
              <w:t>1</w:t>
            </w:r>
            <w:r>
              <w:rPr>
                <w:rFonts w:ascii="宋体" w:hint="eastAsia"/>
                <w:sz w:val="28"/>
                <w:szCs w:val="28"/>
              </w:rPr>
              <w:t>0</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一、一般公共服务支出</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w:t>
            </w:r>
            <w:r>
              <w:rPr>
                <w:rFonts w:ascii="宋体" w:hint="eastAsia"/>
                <w:sz w:val="28"/>
                <w:szCs w:val="28"/>
              </w:rPr>
              <w:t>,</w:t>
            </w:r>
            <w:r>
              <w:rPr>
                <w:rFonts w:ascii="宋体"/>
                <w:sz w:val="28"/>
                <w:szCs w:val="28"/>
              </w:rPr>
              <w:t>011</w:t>
            </w:r>
            <w:r>
              <w:rPr>
                <w:rFonts w:ascii="宋体" w:hint="eastAsia"/>
                <w:sz w:val="28"/>
                <w:szCs w:val="28"/>
              </w:rPr>
              <w:t>.</w:t>
            </w:r>
            <w:r>
              <w:rPr>
                <w:rFonts w:ascii="宋体"/>
                <w:sz w:val="28"/>
                <w:szCs w:val="28"/>
              </w:rPr>
              <w:t>8</w:t>
            </w:r>
            <w:r>
              <w:rPr>
                <w:rFonts w:ascii="宋体" w:hint="eastAsia"/>
                <w:sz w:val="28"/>
                <w:szCs w:val="28"/>
              </w:rPr>
              <w:t>4</w:t>
            </w:r>
          </w:p>
        </w:tc>
      </w:tr>
      <w:tr>
        <w:trPr>
          <w:trHeight w:val="238"/>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二、政府性基金预算拨款收入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二、社会保障和就业支出</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49</w:t>
            </w:r>
            <w:r>
              <w:rPr>
                <w:rFonts w:ascii="宋体" w:hint="eastAsia"/>
                <w:sz w:val="28"/>
                <w:szCs w:val="28"/>
              </w:rPr>
              <w:t>.</w:t>
            </w:r>
            <w:r>
              <w:rPr>
                <w:rFonts w:ascii="宋体"/>
                <w:sz w:val="28"/>
                <w:szCs w:val="28"/>
              </w:rPr>
              <w:t>77</w:t>
            </w: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三、国有资本经营预算拨款收入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三、住房保障支出</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hint="eastAsia"/>
                <w:sz w:val="28"/>
                <w:szCs w:val="28"/>
              </w:rPr>
              <w:t>14</w:t>
            </w:r>
            <w:r>
              <w:rPr>
                <w:rFonts w:ascii="宋体"/>
                <w:sz w:val="28"/>
                <w:szCs w:val="28"/>
              </w:rPr>
              <w:t>2</w:t>
            </w:r>
            <w:r>
              <w:rPr>
                <w:rFonts w:ascii="宋体" w:hint="eastAsia"/>
                <w:sz w:val="28"/>
                <w:szCs w:val="28"/>
              </w:rPr>
              <w:t>.</w:t>
            </w:r>
            <w:r>
              <w:rPr>
                <w:rFonts w:ascii="宋体"/>
                <w:sz w:val="28"/>
                <w:szCs w:val="28"/>
              </w:rPr>
              <w:t>77</w:t>
            </w: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四、事业收入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2</w:t>
            </w:r>
            <w:r>
              <w:rPr>
                <w:rFonts w:ascii="宋体" w:hint="eastAsia"/>
                <w:sz w:val="28"/>
                <w:szCs w:val="28"/>
              </w:rPr>
              <w:t>,</w:t>
            </w:r>
            <w:r>
              <w:rPr>
                <w:rFonts w:ascii="宋体"/>
                <w:sz w:val="28"/>
                <w:szCs w:val="28"/>
              </w:rPr>
              <w:t>103</w:t>
            </w:r>
            <w:r>
              <w:rPr>
                <w:rFonts w:ascii="宋体" w:hint="eastAsia"/>
                <w:sz w:val="28"/>
                <w:szCs w:val="28"/>
              </w:rPr>
              <w:t>.</w:t>
            </w:r>
            <w:r>
              <w:rPr>
                <w:rFonts w:ascii="宋体"/>
                <w:sz w:val="28"/>
                <w:szCs w:val="28"/>
              </w:rPr>
              <w:t>77</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四、其他支出</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34.05</w:t>
            </w: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五、事业单位经营收入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六、其他收入</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w:t>
            </w:r>
            <w:r>
              <w:rPr>
                <w:rFonts w:ascii="宋体" w:hint="eastAsia"/>
                <w:sz w:val="28"/>
                <w:szCs w:val="28"/>
              </w:rPr>
              <w:t>1</w:t>
            </w:r>
            <w:r>
              <w:rPr>
                <w:rFonts w:ascii="宋体"/>
                <w:sz w:val="28"/>
                <w:szCs w:val="28"/>
              </w:rPr>
              <w:t>8</w:t>
            </w:r>
            <w:r>
              <w:rPr>
                <w:rFonts w:ascii="宋体" w:hint="eastAsia"/>
                <w:sz w:val="28"/>
                <w:szCs w:val="28"/>
              </w:rPr>
              <w:t>.00</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本年收入合计</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hint="eastAsia"/>
                <w:sz w:val="28"/>
                <w:szCs w:val="28"/>
              </w:rPr>
              <w:t>2,</w:t>
            </w:r>
            <w:r>
              <w:rPr>
                <w:rFonts w:ascii="宋体"/>
                <w:sz w:val="28"/>
                <w:szCs w:val="28"/>
              </w:rPr>
              <w:t>935</w:t>
            </w:r>
            <w:r>
              <w:rPr>
                <w:rFonts w:ascii="宋体" w:hint="eastAsia"/>
                <w:sz w:val="28"/>
                <w:szCs w:val="28"/>
              </w:rPr>
              <w:t>.</w:t>
            </w:r>
            <w:r>
              <w:rPr>
                <w:rFonts w:ascii="宋体"/>
                <w:sz w:val="28"/>
                <w:szCs w:val="28"/>
              </w:rPr>
              <w:t>87</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本年支出合计</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w:t>
            </w:r>
            <w:r>
              <w:rPr>
                <w:rFonts w:ascii="宋体" w:hint="eastAsia"/>
                <w:sz w:val="28"/>
                <w:szCs w:val="28"/>
              </w:rPr>
              <w:t>,</w:t>
            </w:r>
            <w:r>
              <w:rPr>
                <w:rFonts w:ascii="宋体"/>
                <w:sz w:val="28"/>
                <w:szCs w:val="28"/>
              </w:rPr>
              <w:t>238</w:t>
            </w:r>
            <w:r>
              <w:rPr>
                <w:rFonts w:ascii="宋体" w:hint="eastAsia"/>
                <w:sz w:val="28"/>
                <w:szCs w:val="28"/>
              </w:rPr>
              <w:t>.</w:t>
            </w:r>
            <w:r>
              <w:rPr>
                <w:rFonts w:ascii="宋体"/>
                <w:sz w:val="28"/>
                <w:szCs w:val="28"/>
              </w:rPr>
              <w:t>43</w:t>
            </w: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使用非财政拨款结余</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82</w:t>
            </w:r>
            <w:r>
              <w:rPr>
                <w:rFonts w:ascii="宋体" w:hint="eastAsia"/>
                <w:sz w:val="28"/>
                <w:szCs w:val="28"/>
              </w:rPr>
              <w:t>.</w:t>
            </w:r>
            <w:r>
              <w:rPr>
                <w:rFonts w:ascii="宋体"/>
                <w:sz w:val="28"/>
                <w:szCs w:val="28"/>
              </w:rPr>
              <w:t>0</w:t>
            </w:r>
            <w:r>
              <w:rPr>
                <w:rFonts w:ascii="宋体" w:hint="eastAsia"/>
                <w:sz w:val="28"/>
                <w:szCs w:val="28"/>
              </w:rPr>
              <w:t>3</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结转下年(非财政拨款)</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left"/>
              <w:rPr>
                <w:rFonts w:ascii="宋体"/>
                <w:sz w:val="28"/>
                <w:szCs w:val="28"/>
              </w:rPr>
            </w:pPr>
            <w:r>
              <w:rPr>
                <w:rFonts w:ascii="宋体"/>
                <w:sz w:val="28"/>
                <w:szCs w:val="28"/>
              </w:rPr>
              <w:t>上年结转</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220</w:t>
            </w:r>
            <w:r>
              <w:rPr>
                <w:rFonts w:ascii="宋体" w:hint="eastAsia"/>
                <w:sz w:val="28"/>
                <w:szCs w:val="28"/>
              </w:rPr>
              <w:t>.</w:t>
            </w:r>
            <w:r>
              <w:rPr>
                <w:rFonts w:ascii="宋体"/>
                <w:sz w:val="28"/>
                <w:szCs w:val="28"/>
              </w:rPr>
              <w:t>53</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p>
        </w:tc>
      </w:tr>
      <w:tr>
        <w:trPr>
          <w:trHeight w:val="239"/>
        </w:trPr>
        <w:tc>
          <w:tcPr>
            <w:tcW w:w="454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收　入　总　计</w:t>
            </w:r>
          </w:p>
        </w:tc>
        <w:tc>
          <w:tcPr>
            <w:tcW w:w="2004"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w:t>
            </w:r>
            <w:r>
              <w:rPr>
                <w:rFonts w:ascii="宋体" w:hint="eastAsia"/>
                <w:sz w:val="28"/>
                <w:szCs w:val="28"/>
              </w:rPr>
              <w:t>,</w:t>
            </w:r>
            <w:r>
              <w:rPr>
                <w:rFonts w:ascii="宋体"/>
                <w:sz w:val="28"/>
                <w:szCs w:val="28"/>
              </w:rPr>
              <w:t>238</w:t>
            </w:r>
            <w:r>
              <w:rPr>
                <w:rFonts w:ascii="宋体" w:hint="eastAsia"/>
                <w:sz w:val="28"/>
                <w:szCs w:val="28"/>
              </w:rPr>
              <w:t>.</w:t>
            </w:r>
            <w:r>
              <w:rPr>
                <w:rFonts w:ascii="宋体"/>
                <w:sz w:val="28"/>
                <w:szCs w:val="28"/>
              </w:rPr>
              <w:t>43</w:t>
            </w:r>
          </w:p>
        </w:tc>
        <w:tc>
          <w:tcPr>
            <w:tcW w:w="3925"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8"/>
                <w:szCs w:val="28"/>
              </w:rPr>
            </w:pPr>
            <w:r>
              <w:rPr>
                <w:rFonts w:ascii="宋体"/>
                <w:sz w:val="28"/>
                <w:szCs w:val="28"/>
              </w:rPr>
              <w:t>支　出　总　计</w:t>
            </w:r>
          </w:p>
        </w:tc>
        <w:tc>
          <w:tcPr>
            <w:tcW w:w="2009" w:type="dxa"/>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8"/>
                <w:szCs w:val="28"/>
              </w:rPr>
            </w:pPr>
            <w:r>
              <w:rPr>
                <w:rFonts w:ascii="宋体"/>
                <w:sz w:val="28"/>
                <w:szCs w:val="28"/>
              </w:rPr>
              <w:t>3</w:t>
            </w:r>
            <w:r>
              <w:rPr>
                <w:rFonts w:ascii="宋体" w:hint="eastAsia"/>
                <w:sz w:val="28"/>
                <w:szCs w:val="28"/>
              </w:rPr>
              <w:t>,</w:t>
            </w:r>
            <w:r>
              <w:rPr>
                <w:rFonts w:ascii="宋体"/>
                <w:sz w:val="28"/>
                <w:szCs w:val="28"/>
              </w:rPr>
              <w:t>238</w:t>
            </w:r>
            <w:r>
              <w:rPr>
                <w:rFonts w:ascii="宋体" w:hint="eastAsia"/>
                <w:sz w:val="28"/>
                <w:szCs w:val="28"/>
              </w:rPr>
              <w:t>.</w:t>
            </w:r>
            <w:r>
              <w:rPr>
                <w:rFonts w:ascii="宋体"/>
                <w:sz w:val="28"/>
                <w:szCs w:val="28"/>
              </w:rPr>
              <w:t>43</w:t>
            </w:r>
          </w:p>
        </w:tc>
      </w:tr>
    </w:tbl>
    <w:p>
      <w:pPr>
        <w:ind w:left="-315"/>
        <w:jc w:val="center"/>
        <w:rPr>
          <w:b/>
          <w:sz w:val="72"/>
          <w:szCs w:val="72"/>
        </w:rPr>
      </w:pPr>
    </w:p>
    <w:p>
      <w:pPr>
        <w:ind w:left="-315"/>
        <w:jc w:val="center"/>
        <w:rPr>
          <w:b/>
          <w:sz w:val="72"/>
          <w:szCs w:val="72"/>
        </w:rPr>
      </w:pPr>
    </w:p>
    <w:p>
      <w:pPr>
        <w:ind w:left="-315"/>
        <w:jc w:val="center"/>
        <w:rPr>
          <w:b/>
          <w:sz w:val="72"/>
          <w:szCs w:val="72"/>
        </w:rPr>
      </w:pPr>
    </w:p>
    <w:p>
      <w:pPr>
        <w:rPr>
          <w:b/>
          <w:sz w:val="72"/>
          <w:szCs w:val="72"/>
        </w:rPr>
      </w:pPr>
    </w:p>
    <w:p>
      <w:pPr>
        <w:ind w:left="-315"/>
        <w:jc w:val="center"/>
        <w:rPr>
          <w:b/>
          <w:sz w:val="72"/>
          <w:szCs w:val="72"/>
        </w:rPr>
      </w:pPr>
    </w:p>
    <w:p>
      <w:pPr>
        <w:jc w:val="left"/>
        <w:rPr>
          <w:rFonts w:eastAsia="方正仿宋_GBK"/>
          <w:sz w:val="32"/>
          <w:szCs w:val="32"/>
        </w:rPr>
      </w:pPr>
    </w:p>
    <w:tbl>
      <w:tblPr>
        <w:jc w:val="center"/>
        <w:tblW w:w="13607"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283"/>
        <w:gridCol w:w="1235"/>
        <w:gridCol w:w="1201"/>
        <w:gridCol w:w="880"/>
        <w:gridCol w:w="880"/>
        <w:gridCol w:w="1456"/>
        <w:gridCol w:w="942"/>
        <w:gridCol w:w="1256"/>
        <w:gridCol w:w="897"/>
        <w:gridCol w:w="1087"/>
        <w:gridCol w:w="1201"/>
        <w:gridCol w:w="1290"/>
      </w:tblGrid>
      <w:tr>
        <w:trPr>
          <w:trHeight w:val="270"/>
        </w:trPr>
        <w:tc>
          <w:tcPr>
            <w:tcW w:w="1283" w:type="dxa"/>
            <w:tcBorders>
              <w:top w:val="nil"/>
              <w:left w:val="nil"/>
              <w:bottom w:val="nil"/>
              <w:right w:val="nil"/>
            </w:tcBorders>
            <w:shd w:val="clear" w:color="auto" w:fill="auto"/>
            <w:noWrap/>
            <w:vAlign w:val="center"/>
          </w:tcPr>
          <w:p>
            <w:pPr>
              <w:widowControl/>
              <w:jc w:val="left"/>
              <w:rPr>
                <w:rFonts w:cs="宋体"/>
                <w:kern w:val="0"/>
                <w:sz w:val="24"/>
              </w:rPr>
            </w:pPr>
          </w:p>
        </w:tc>
        <w:tc>
          <w:tcPr>
            <w:tcW w:w="1235"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1201"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880"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1456"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942"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1256"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897"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1087" w:type="dxa"/>
            <w:tcBorders>
              <w:top w:val="nil"/>
              <w:left w:val="nil"/>
              <w:bottom w:val="nil"/>
              <w:right w:val="nil"/>
            </w:tcBorders>
            <w:shd w:val="clear" w:color="auto" w:fill="auto"/>
            <w:noWrap/>
            <w:vAlign w:val="center"/>
          </w:tcPr>
          <w:p>
            <w:pPr>
              <w:widowControl/>
              <w:jc w:val="left"/>
              <w:rPr>
                <w:rFonts w:eastAsia="Times New Roman"/>
                <w:kern w:val="0"/>
                <w:sz w:val="20"/>
                <w:szCs w:val="20"/>
              </w:rPr>
            </w:pPr>
          </w:p>
        </w:tc>
        <w:tc>
          <w:tcPr>
            <w:tcW w:w="2491" w:type="dxa"/>
            <w:gridSpan w:val="2"/>
            <w:tcBorders>
              <w:top w:val="nil"/>
              <w:left w:val="nil"/>
              <w:bottom w:val="nil"/>
              <w:right w:val="nil"/>
            </w:tcBorders>
            <w:shd w:val="clear" w:color="auto" w:fill="auto"/>
            <w:noWrap/>
            <w:vAlign w:val="center"/>
          </w:tcPr>
          <w:p>
            <w:pPr>
              <w:widowControl/>
              <w:jc w:val="right"/>
              <w:rPr>
                <w:rFonts w:eastAsia="黑体" w:cs="宋体"/>
                <w:b/>
                <w:kern w:val="0"/>
                <w:sz w:val="20"/>
                <w:szCs w:val="20"/>
              </w:rPr>
            </w:pPr>
            <w:r>
              <w:rPr>
                <w:rFonts w:eastAsia="黑体" w:cs="宋体" w:hint="eastAsia"/>
                <w:b/>
                <w:kern w:val="0"/>
                <w:sz w:val="20"/>
                <w:szCs w:val="20"/>
              </w:rPr>
              <w:t>部门公开表2</w:t>
            </w:r>
          </w:p>
        </w:tc>
      </w:tr>
      <w:tr>
        <w:trPr>
          <w:trHeight w:val="405"/>
        </w:trPr>
        <w:tc>
          <w:tcPr>
            <w:tcW w:w="13607" w:type="dxa"/>
            <w:gridSpan w:val="12"/>
            <w:tcBorders>
              <w:top w:val="nil"/>
              <w:left w:val="nil"/>
              <w:bottom w:val="nil"/>
              <w:right w:val="nil"/>
            </w:tcBorders>
            <w:shd w:val="clear" w:color="auto" w:fill="auto"/>
            <w:noWrap/>
            <w:vAlign w:val="center"/>
          </w:tcPr>
          <w:p>
            <w:pPr>
              <w:jc w:val="center"/>
              <w:rPr>
                <w:rFonts w:cs="宋体"/>
                <w:kern w:val="0"/>
                <w:sz w:val="36"/>
                <w:szCs w:val="36"/>
              </w:rPr>
            </w:pPr>
            <w:r>
              <w:rPr>
                <w:rFonts w:hint="eastAsia"/>
                <w:b/>
                <w:sz w:val="36"/>
                <w:szCs w:val="36"/>
              </w:rPr>
              <w:t>部门收入总表</w:t>
            </w:r>
          </w:p>
        </w:tc>
      </w:tr>
      <w:tr>
        <w:trPr>
          <w:trHeight w:val="270"/>
        </w:trPr>
        <w:tc>
          <w:tcPr>
            <w:tcW w:w="1283"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235"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201"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880"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456"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942"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256"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897"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087"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201" w:type="dxa"/>
            <w:tcBorders>
              <w:top w:val="nil"/>
              <w:left w:val="nil"/>
              <w:bottom w:val="single" w:sz="4" w:space="0" w:color="auto"/>
              <w:right w:val="nil"/>
            </w:tcBorders>
            <w:shd w:val="clear" w:color="auto" w:fill="auto"/>
            <w:noWrap/>
            <w:vAlign w:val="center"/>
          </w:tcPr>
          <w:p>
            <w:pPr>
              <w:widowControl/>
              <w:jc w:val="left"/>
              <w:rPr>
                <w:rFonts w:cs="宋体"/>
                <w:kern w:val="0"/>
                <w:sz w:val="18"/>
                <w:szCs w:val="18"/>
              </w:rPr>
            </w:pPr>
            <w:r>
              <w:rPr>
                <w:rFonts w:cs="宋体" w:hint="eastAsia"/>
                <w:kern w:val="0"/>
                <w:sz w:val="18"/>
                <w:szCs w:val="18"/>
              </w:rPr>
              <w:t>　</w:t>
            </w:r>
          </w:p>
        </w:tc>
        <w:tc>
          <w:tcPr>
            <w:tcW w:w="1290" w:type="dxa"/>
            <w:tcBorders>
              <w:top w:val="nil"/>
              <w:left w:val="nil"/>
              <w:bottom w:val="single" w:sz="4" w:space="0" w:color="auto"/>
              <w:right w:val="nil"/>
            </w:tcBorders>
            <w:shd w:val="clear" w:color="auto" w:fill="auto"/>
            <w:noWrap/>
            <w:vAlign w:val="center"/>
          </w:tcPr>
          <w:p>
            <w:pPr>
              <w:widowControl/>
              <w:jc w:val="right"/>
              <w:rPr>
                <w:rFonts w:cs="宋体"/>
                <w:kern w:val="0"/>
                <w:sz w:val="18"/>
                <w:szCs w:val="18"/>
              </w:rPr>
            </w:pPr>
            <w:r>
              <w:rPr>
                <w:rFonts w:cs="宋体" w:hint="eastAsia"/>
                <w:kern w:val="0"/>
                <w:sz w:val="18"/>
                <w:szCs w:val="18"/>
              </w:rPr>
              <w:t>单位：万元</w:t>
            </w:r>
          </w:p>
        </w:tc>
      </w:tr>
      <w:tr>
        <w:trPr>
          <w:trHeight w:val="1037"/>
        </w:trPr>
        <w:tc>
          <w:tcPr>
            <w:tcW w:w="1283"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合计</w:t>
            </w:r>
          </w:p>
        </w:tc>
        <w:tc>
          <w:tcPr>
            <w:tcW w:w="1235" w:type="dxa"/>
            <w:vMerge w:val="restart"/>
            <w:tcBorders>
              <w:top w:val="nil"/>
              <w:left w:val="single" w:sz="4" w:space="0" w:color="auto"/>
              <w:bottom w:val="nil"/>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上年结转</w:t>
            </w:r>
          </w:p>
        </w:tc>
        <w:tc>
          <w:tcPr>
            <w:tcW w:w="1201"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一般公共预算拨款收入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政府性基金预算拨款收入</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国有资本经营预算拨款收入</w:t>
            </w:r>
          </w:p>
        </w:tc>
        <w:tc>
          <w:tcPr>
            <w:tcW w:w="239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pPr>
              <w:widowControl/>
              <w:jc w:val="center"/>
              <w:rPr>
                <w:rFonts w:ascii="宋体"/>
                <w:sz w:val="28"/>
                <w:szCs w:val="28"/>
              </w:rPr>
            </w:pPr>
            <w:r>
              <w:rPr>
                <w:rFonts w:ascii="宋体" w:hint="eastAsia"/>
                <w:sz w:val="28"/>
                <w:szCs w:val="28"/>
              </w:rPr>
              <w:t>事业收入</w:t>
            </w:r>
          </w:p>
        </w:tc>
        <w:tc>
          <w:tcPr>
            <w:tcW w:w="1256" w:type="dxa"/>
            <w:vMerge w:val="restart"/>
            <w:tcBorders>
              <w:top w:val="single" w:sz="4" w:space="0" w:color="auto"/>
              <w:left w:val="single" w:sz="4" w:space="0" w:color="auto"/>
              <w:bottom w:val="nil"/>
              <w:right w:val="nil"/>
            </w:tcBorders>
            <w:shd w:val="clear" w:color="auto" w:fill="auto"/>
            <w:vAlign w:val="center"/>
          </w:tcPr>
          <w:p>
            <w:pPr>
              <w:widowControl/>
              <w:jc w:val="center"/>
              <w:rPr>
                <w:rFonts w:ascii="宋体"/>
                <w:sz w:val="28"/>
                <w:szCs w:val="28"/>
              </w:rPr>
            </w:pPr>
            <w:r>
              <w:rPr>
                <w:rFonts w:ascii="宋体" w:hint="eastAsia"/>
                <w:sz w:val="28"/>
                <w:szCs w:val="28"/>
              </w:rPr>
              <w:t>事业单位经营收入</w:t>
            </w:r>
          </w:p>
        </w:tc>
        <w:tc>
          <w:tcPr>
            <w:tcW w:w="89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上级补助收入</w:t>
            </w:r>
          </w:p>
        </w:tc>
        <w:tc>
          <w:tcPr>
            <w:tcW w:w="108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附属单位上缴收入</w:t>
            </w:r>
          </w:p>
        </w:tc>
        <w:tc>
          <w:tcPr>
            <w:tcW w:w="12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其他收入</w:t>
            </w:r>
          </w:p>
        </w:tc>
        <w:tc>
          <w:tcPr>
            <w:tcW w:w="12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sz w:val="28"/>
                <w:szCs w:val="28"/>
              </w:rPr>
            </w:pPr>
            <w:r>
              <w:rPr>
                <w:rFonts w:ascii="宋体" w:hint="eastAsia"/>
                <w:sz w:val="28"/>
                <w:szCs w:val="28"/>
              </w:rPr>
              <w:t>使用非财政拨款结余</w:t>
            </w:r>
          </w:p>
        </w:tc>
      </w:tr>
      <w:tr>
        <w:trPr>
          <w:trHeight w:val="480"/>
        </w:trPr>
        <w:tc>
          <w:tcPr>
            <w:tcW w:w="1201" w:type="dxa"/>
            <w:vMerge/>
            <w:tcBorders>
              <w:top w:val="nil"/>
              <w:left w:val="single" w:sz="4" w:space="0" w:color="auto"/>
              <w:bottom w:val="single" w:sz="4" w:space="0" w:color="auto"/>
              <w:right w:val="single" w:sz="4" w:space="0" w:color="auto"/>
            </w:tcBorders>
            <w:vAlign w:val="center"/>
          </w:tcPr>
          <w:p/>
        </w:tc>
        <w:tc>
          <w:tcPr>
            <w:tcW w:w="1360" w:type="dxa"/>
            <w:vMerge/>
            <w:tcBorders>
              <w:top w:val="nil"/>
              <w:left w:val="single" w:sz="4" w:space="0" w:color="auto"/>
              <w:bottom w:val="nil"/>
              <w:right w:val="single" w:sz="4" w:space="0" w:color="auto"/>
            </w:tcBorders>
            <w:vAlign w:val="center"/>
          </w:tcPr>
          <w:p/>
        </w:tc>
        <w:tc>
          <w:tcPr>
            <w:tcW w:w="1201"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880" w:type="dxa"/>
            <w:vMerge/>
            <w:tcBorders>
              <w:top w:val="nil"/>
              <w:left w:val="single" w:sz="4" w:space="0" w:color="auto"/>
              <w:bottom w:val="single" w:sz="4" w:space="0" w:color="auto"/>
              <w:right w:val="single" w:sz="4" w:space="0" w:color="auto"/>
            </w:tcBorders>
            <w:vAlign w:val="center"/>
          </w:tcPr>
          <w:p/>
        </w:tc>
        <w:tc>
          <w:tcPr>
            <w:tcW w:w="1456"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cs="宋体"/>
                <w:kern w:val="0"/>
                <w:sz w:val="28"/>
                <w:szCs w:val="28"/>
              </w:rPr>
            </w:pPr>
            <w:r>
              <w:rPr>
                <w:rFonts w:ascii="宋体" w:hint="eastAsia"/>
                <w:sz w:val="28"/>
                <w:szCs w:val="28"/>
              </w:rPr>
              <w:t>金额</w:t>
            </w:r>
          </w:p>
        </w:tc>
        <w:tc>
          <w:tcPr>
            <w:tcW w:w="942" w:type="dxa"/>
            <w:tcBorders>
              <w:top w:val="single" w:sz="4" w:space="0" w:color="auto"/>
              <w:left w:val="nil"/>
              <w:bottom w:val="single" w:sz="4" w:space="0" w:color="auto"/>
              <w:right w:val="single" w:sz="4" w:space="0" w:color="auto"/>
            </w:tcBorders>
            <w:shd w:val="clear" w:color="auto" w:fill="auto"/>
            <w:vAlign w:val="center"/>
          </w:tcPr>
          <w:p>
            <w:pPr>
              <w:widowControl/>
              <w:jc w:val="center"/>
              <w:rPr>
                <w:rFonts w:cs="宋体"/>
                <w:kern w:val="0"/>
                <w:sz w:val="28"/>
                <w:szCs w:val="28"/>
              </w:rPr>
            </w:pPr>
            <w:r>
              <w:rPr>
                <w:rFonts w:ascii="宋体" w:hint="eastAsia"/>
                <w:sz w:val="28"/>
                <w:szCs w:val="28"/>
              </w:rPr>
              <w:t>其中：教育收费</w:t>
            </w:r>
          </w:p>
        </w:tc>
        <w:tc>
          <w:tcPr>
            <w:tcW w:w="1139" w:type="dxa"/>
            <w:vMerge/>
            <w:tcBorders>
              <w:top w:val="single" w:sz="4" w:space="0" w:color="auto"/>
              <w:left w:val="single" w:sz="4" w:space="0" w:color="auto"/>
              <w:bottom w:val="nil"/>
              <w:right w:val="nil"/>
            </w:tcBorders>
            <w:vAlign w:val="center"/>
          </w:tcPr>
          <w:p/>
        </w:tc>
        <w:tc>
          <w:tcPr>
            <w:tcW w:w="1134" w:type="dxa"/>
            <w:vMerge/>
            <w:tcBorders>
              <w:top w:val="single" w:sz="4" w:space="0" w:color="auto"/>
              <w:left w:val="single" w:sz="4" w:space="0" w:color="auto"/>
              <w:bottom w:val="single" w:sz="4" w:space="0" w:color="000000"/>
              <w:right w:val="single" w:sz="4" w:space="0" w:color="auto"/>
            </w:tcBorders>
            <w:vAlign w:val="center"/>
          </w:tcPr>
          <w:p/>
        </w:tc>
        <w:tc>
          <w:tcPr>
            <w:tcW w:w="1087" w:type="dxa"/>
            <w:vMerge/>
            <w:tcBorders>
              <w:top w:val="single" w:sz="4" w:space="0" w:color="auto"/>
              <w:left w:val="single" w:sz="4" w:space="0" w:color="auto"/>
              <w:bottom w:val="single" w:sz="4" w:space="0" w:color="auto"/>
              <w:right w:val="single" w:sz="4" w:space="0" w:color="auto"/>
            </w:tcBorders>
            <w:vAlign w:val="center"/>
          </w:tcPr>
          <w:p/>
        </w:tc>
        <w:tc>
          <w:tcPr>
            <w:tcW w:w="1201" w:type="dxa"/>
            <w:vMerge/>
            <w:tcBorders>
              <w:top w:val="single" w:sz="4" w:space="0" w:color="auto"/>
              <w:left w:val="single" w:sz="4" w:space="0" w:color="auto"/>
              <w:bottom w:val="single" w:sz="4" w:space="0" w:color="auto"/>
              <w:right w:val="single" w:sz="4" w:space="0" w:color="auto"/>
            </w:tcBorders>
            <w:vAlign w:val="center"/>
          </w:tcPr>
          <w:p/>
        </w:tc>
        <w:tc>
          <w:tcPr>
            <w:tcW w:w="1290" w:type="dxa"/>
            <w:vMerge/>
            <w:tcBorders>
              <w:top w:val="single" w:sz="4" w:space="0" w:color="auto"/>
              <w:left w:val="single" w:sz="4" w:space="0" w:color="auto"/>
              <w:bottom w:val="single" w:sz="4" w:space="0" w:color="auto"/>
              <w:right w:val="single" w:sz="4" w:space="0" w:color="auto"/>
            </w:tcBorders>
            <w:vAlign w:val="center"/>
          </w:tcPr>
          <w:p/>
        </w:tc>
      </w:tr>
      <w:tr>
        <w:trPr>
          <w:trHeight w:val="581"/>
        </w:trPr>
        <w:tc>
          <w:tcPr>
            <w:tcW w:w="1283" w:type="dxa"/>
            <w:tcBorders>
              <w:top w:val="nil"/>
              <w:left w:val="single" w:sz="4" w:space="0" w:color="auto"/>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3238.43</w:t>
            </w:r>
          </w:p>
        </w:tc>
        <w:tc>
          <w:tcPr>
            <w:tcW w:w="1235"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220.53</w:t>
            </w:r>
          </w:p>
        </w:tc>
        <w:tc>
          <w:tcPr>
            <w:tcW w:w="1201"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514.10</w:t>
            </w: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880"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1456"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2103.77</w:t>
            </w:r>
          </w:p>
        </w:tc>
        <w:tc>
          <w:tcPr>
            <w:tcW w:w="942"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1256"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897" w:type="dxa"/>
            <w:tcBorders>
              <w:top w:val="single" w:sz="4" w:space="0" w:color="auto"/>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1087"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p>
        </w:tc>
        <w:tc>
          <w:tcPr>
            <w:tcW w:w="1201"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318.00</w:t>
            </w:r>
          </w:p>
        </w:tc>
        <w:tc>
          <w:tcPr>
            <w:tcW w:w="1290" w:type="dxa"/>
            <w:tcBorders>
              <w:top w:val="nil"/>
              <w:left w:val="nil"/>
              <w:bottom w:val="single" w:sz="4" w:space="0" w:color="auto"/>
              <w:right w:val="single" w:sz="4" w:space="0" w:color="auto"/>
            </w:tcBorders>
            <w:shd w:val="clear" w:color="auto" w:fill="auto"/>
            <w:vAlign w:val="center"/>
          </w:tcPr>
          <w:p>
            <w:pPr>
              <w:widowControl/>
              <w:jc w:val="right"/>
              <w:rPr>
                <w:rFonts w:cs="宋体"/>
                <w:kern w:val="0"/>
                <w:sz w:val="28"/>
                <w:szCs w:val="28"/>
              </w:rPr>
            </w:pPr>
            <w:r>
              <w:rPr>
                <w:rFonts w:ascii="宋体"/>
                <w:sz w:val="28"/>
                <w:szCs w:val="28"/>
              </w:rPr>
              <w:t>82.03</w:t>
            </w:r>
          </w:p>
        </w:tc>
      </w:tr>
    </w:tbl>
    <w:p>
      <w:pPr>
        <w:jc w:val="right"/>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方正仿宋_GBK"/>
          <w:sz w:val="32"/>
          <w:szCs w:val="32"/>
        </w:rPr>
      </w:pPr>
    </w:p>
    <w:p>
      <w:pPr>
        <w:ind w:left="-315"/>
        <w:jc w:val="center"/>
        <w:rPr>
          <w:rFonts w:eastAsia="黑体" w:cs="宋体"/>
          <w:kern w:val="0"/>
          <w:sz w:val="20"/>
          <w:szCs w:val="20"/>
        </w:rPr>
      </w:pPr>
    </w:p>
    <w:p>
      <w:pPr>
        <w:pStyle w:val="523"/>
      </w:pPr>
    </w:p>
    <w:p>
      <w:pPr>
        <w:pStyle w:val="523"/>
        <w:ind w:right="1400"/>
        <w:jc w:val="right"/>
        <w:rPr>
          <w:rFonts w:ascii="方正黑体_GBK" w:eastAsia="方正黑体_GBK" w:cs="方正黑体_GBK"/>
          <w:b/>
          <w:sz w:val="20"/>
          <w:szCs w:val="20"/>
        </w:rPr>
      </w:pPr>
      <w:r>
        <w:rPr>
          <w:rFonts w:ascii="黑体" w:eastAsia="黑体" w:cs="黑体" w:hint="eastAsia"/>
          <w:b/>
          <w:sz w:val="20"/>
          <w:szCs w:val="20"/>
        </w:rPr>
        <w:t>部门公开表3</w:t>
      </w:r>
    </w:p>
    <w:p>
      <w:pPr>
        <w:pStyle w:val="523"/>
        <w:jc w:val="center"/>
        <w:rPr>
          <w:rFonts w:cs="Microsoft JhengHei"/>
          <w:sz w:val="36"/>
          <w:szCs w:val="36"/>
        </w:rPr>
      </w:pPr>
      <w:r>
        <w:rPr>
          <w:rFonts w:cs="Microsoft JhengHei" w:hint="eastAsia"/>
          <w:b/>
          <w:snapToGrid w:val="0"/>
          <w:sz w:val="36"/>
          <w:szCs w:val="36"/>
        </w:rPr>
        <w:t>部门支出总表</w:t>
      </w:r>
    </w:p>
    <w:tbl>
      <w:tblPr>
        <w:jc w:val="left"/>
        <w:tblInd w:w="1101" w:type="dxa"/>
        <w:tblW w:w="4168" w:type="pct"/>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699"/>
        <w:gridCol w:w="3835"/>
        <w:gridCol w:w="1406"/>
        <w:gridCol w:w="1274"/>
        <w:gridCol w:w="1398"/>
        <w:gridCol w:w="1293"/>
        <w:gridCol w:w="1274"/>
        <w:gridCol w:w="1287"/>
      </w:tblGrid>
      <w:tr>
        <w:trPr>
          <w:trHeight w:val="396"/>
        </w:trPr>
        <w:tc>
          <w:tcPr>
            <w:tcW w:w="5000" w:type="pct"/>
            <w:gridSpan w:val="8"/>
            <w:tcBorders>
              <w:top w:val="nil"/>
              <w:left w:val="nil"/>
              <w:bottom w:val="nil"/>
            </w:tcBorders>
            <w:shd w:val="clear" w:color="auto" w:fill="auto"/>
            <w:vAlign w:val="center"/>
          </w:tcPr>
          <w:p>
            <w:pPr>
              <w:widowControl/>
              <w:jc w:val="right"/>
              <w:rPr>
                <w:rFonts w:ascii="宋体" w:cs="宋体"/>
                <w:kern w:val="0"/>
                <w:sz w:val="24"/>
              </w:rPr>
            </w:pPr>
            <w:r>
              <w:rPr>
                <w:rFonts w:cs="宋体" w:hint="eastAsia"/>
                <w:kern w:val="0"/>
                <w:sz w:val="18"/>
                <w:szCs w:val="18"/>
              </w:rPr>
              <w:t>单位：万元</w:t>
            </w:r>
          </w:p>
        </w:tc>
      </w:tr>
      <w:tr>
        <w:trPr>
          <w:trHeight w:val="396"/>
        </w:trPr>
        <w:tc>
          <w:tcPr>
            <w:tcW w:w="631" w:type="pc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科目代码</w:t>
            </w:r>
          </w:p>
        </w:tc>
        <w:tc>
          <w:tcPr>
            <w:tcW w:w="1424"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科目名称</w:t>
            </w:r>
          </w:p>
        </w:tc>
        <w:tc>
          <w:tcPr>
            <w:tcW w:w="522"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合计</w:t>
            </w:r>
          </w:p>
        </w:tc>
        <w:tc>
          <w:tcPr>
            <w:tcW w:w="473"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基本支出</w:t>
            </w:r>
          </w:p>
        </w:tc>
        <w:tc>
          <w:tcPr>
            <w:tcW w:w="519"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项目支出</w:t>
            </w:r>
          </w:p>
        </w:tc>
        <w:tc>
          <w:tcPr>
            <w:tcW w:w="480"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上缴上级支出</w:t>
            </w:r>
          </w:p>
        </w:tc>
        <w:tc>
          <w:tcPr>
            <w:tcW w:w="473"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事业单位经营支出</w:t>
            </w:r>
          </w:p>
        </w:tc>
        <w:tc>
          <w:tcPr>
            <w:tcW w:w="475" w:type="pct"/>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4"/>
              </w:rPr>
            </w:pPr>
            <w:r>
              <w:rPr>
                <w:rFonts w:ascii="宋体" w:cs="宋体" w:hint="eastAsia"/>
                <w:kern w:val="0"/>
                <w:sz w:val="24"/>
              </w:rPr>
              <w:t>对附属单位补助支出</w:t>
            </w: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一般公共服务支出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w:t>
            </w:r>
            <w:r>
              <w:rPr>
                <w:rFonts w:ascii="宋体" w:cs="宋体" w:hint="eastAsia"/>
                <w:kern w:val="0"/>
                <w:sz w:val="24"/>
              </w:rPr>
              <w:t>,</w:t>
            </w:r>
            <w:r>
              <w:rPr>
                <w:rFonts w:ascii="宋体" w:cs="宋体"/>
                <w:kern w:val="0"/>
                <w:sz w:val="24"/>
              </w:rPr>
              <w:t>011</w:t>
            </w:r>
            <w:r>
              <w:rPr>
                <w:rFonts w:ascii="宋体" w:cs="宋体" w:hint="eastAsia"/>
                <w:kern w:val="0"/>
                <w:sz w:val="24"/>
              </w:rPr>
              <w:t>.</w:t>
            </w:r>
            <w:r>
              <w:rPr>
                <w:rFonts w:ascii="宋体" w:cs="宋体"/>
                <w:kern w:val="0"/>
                <w:sz w:val="24"/>
              </w:rPr>
              <w:t>8</w:t>
            </w:r>
            <w:r>
              <w:rPr>
                <w:rFonts w:ascii="宋体" w:cs="宋体" w:hint="eastAsia"/>
                <w:kern w:val="0"/>
                <w:sz w:val="24"/>
              </w:rPr>
              <w:t>4</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2,</w:t>
            </w:r>
            <w:r>
              <w:rPr>
                <w:rFonts w:ascii="宋体" w:cs="宋体"/>
                <w:kern w:val="0"/>
                <w:sz w:val="24"/>
              </w:rPr>
              <w:t>659</w:t>
            </w:r>
            <w:r>
              <w:rPr>
                <w:rFonts w:ascii="宋体" w:cs="宋体" w:hint="eastAsia"/>
                <w:kern w:val="0"/>
                <w:sz w:val="24"/>
              </w:rPr>
              <w:t>.</w:t>
            </w:r>
            <w:r>
              <w:rPr>
                <w:rFonts w:ascii="宋体" w:cs="宋体"/>
                <w:kern w:val="0"/>
                <w:sz w:val="24"/>
              </w:rPr>
              <w:t>3</w:t>
            </w:r>
            <w:r>
              <w:rPr>
                <w:rFonts w:ascii="宋体" w:cs="宋体" w:hint="eastAsia"/>
                <w:kern w:val="0"/>
                <w:sz w:val="24"/>
              </w:rPr>
              <w:t>1</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3</w:t>
            </w:r>
            <w:r>
              <w:rPr>
                <w:rFonts w:ascii="宋体" w:cs="宋体"/>
                <w:kern w:val="0"/>
                <w:sz w:val="24"/>
              </w:rPr>
              <w:t>52</w:t>
            </w:r>
            <w:r>
              <w:rPr>
                <w:rFonts w:ascii="宋体" w:cs="宋体" w:hint="eastAsia"/>
                <w:kern w:val="0"/>
                <w:sz w:val="24"/>
              </w:rPr>
              <w:t>.</w:t>
            </w:r>
            <w:r>
              <w:rPr>
                <w:rFonts w:ascii="宋体" w:cs="宋体"/>
                <w:kern w:val="0"/>
                <w:sz w:val="24"/>
              </w:rPr>
              <w:t>53</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20109</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海关事务</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w:t>
            </w:r>
            <w:r>
              <w:rPr>
                <w:rFonts w:ascii="宋体" w:cs="宋体" w:hint="eastAsia"/>
                <w:kern w:val="0"/>
                <w:sz w:val="24"/>
              </w:rPr>
              <w:t>,</w:t>
            </w:r>
            <w:r>
              <w:rPr>
                <w:rFonts w:ascii="宋体" w:cs="宋体"/>
                <w:kern w:val="0"/>
                <w:sz w:val="24"/>
              </w:rPr>
              <w:t>011</w:t>
            </w:r>
            <w:r>
              <w:rPr>
                <w:rFonts w:ascii="宋体" w:cs="宋体" w:hint="eastAsia"/>
                <w:kern w:val="0"/>
                <w:sz w:val="24"/>
              </w:rPr>
              <w:t>.</w:t>
            </w:r>
            <w:r>
              <w:rPr>
                <w:rFonts w:ascii="宋体" w:cs="宋体"/>
                <w:kern w:val="0"/>
                <w:sz w:val="24"/>
              </w:rPr>
              <w:t>8</w:t>
            </w:r>
            <w:r>
              <w:rPr>
                <w:rFonts w:ascii="宋体" w:cs="宋体" w:hint="eastAsia"/>
                <w:kern w:val="0"/>
                <w:sz w:val="24"/>
              </w:rPr>
              <w:t>4</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2,</w:t>
            </w:r>
            <w:r>
              <w:rPr>
                <w:rFonts w:ascii="宋体" w:cs="宋体"/>
                <w:kern w:val="0"/>
                <w:sz w:val="24"/>
              </w:rPr>
              <w:t>659</w:t>
            </w:r>
            <w:r>
              <w:rPr>
                <w:rFonts w:ascii="宋体" w:cs="宋体" w:hint="eastAsia"/>
                <w:kern w:val="0"/>
                <w:sz w:val="24"/>
              </w:rPr>
              <w:t>.</w:t>
            </w:r>
            <w:r>
              <w:rPr>
                <w:rFonts w:ascii="宋体" w:cs="宋体"/>
                <w:kern w:val="0"/>
                <w:sz w:val="24"/>
              </w:rPr>
              <w:t>3</w:t>
            </w:r>
            <w:r>
              <w:rPr>
                <w:rFonts w:ascii="宋体" w:cs="宋体" w:hint="eastAsia"/>
                <w:kern w:val="0"/>
                <w:sz w:val="24"/>
              </w:rPr>
              <w:t>1</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3</w:t>
            </w:r>
            <w:r>
              <w:rPr>
                <w:rFonts w:ascii="宋体" w:cs="宋体"/>
                <w:kern w:val="0"/>
                <w:sz w:val="24"/>
              </w:rPr>
              <w:t>52</w:t>
            </w:r>
            <w:r>
              <w:rPr>
                <w:rFonts w:ascii="宋体" w:cs="宋体" w:hint="eastAsia"/>
                <w:kern w:val="0"/>
                <w:sz w:val="24"/>
              </w:rPr>
              <w:t>.</w:t>
            </w:r>
            <w:r>
              <w:rPr>
                <w:rFonts w:ascii="宋体" w:cs="宋体"/>
                <w:kern w:val="0"/>
                <w:sz w:val="24"/>
              </w:rPr>
              <w:t>53</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2010902</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color w:val="FF0000"/>
                <w:kern w:val="0"/>
                <w:sz w:val="24"/>
              </w:rPr>
            </w:pPr>
            <w:r>
              <w:rPr>
                <w:rFonts w:ascii="宋体" w:cs="宋体" w:hint="eastAsia"/>
                <w:kern w:val="0"/>
                <w:sz w:val="24"/>
              </w:rPr>
              <w:t>一般行政管理事务</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130</w:t>
            </w:r>
            <w:r>
              <w:rPr>
                <w:rFonts w:ascii="宋体" w:cs="宋体" w:hint="eastAsia"/>
                <w:kern w:val="0"/>
                <w:sz w:val="24"/>
              </w:rPr>
              <w:t>.</w:t>
            </w:r>
            <w:r>
              <w:rPr>
                <w:rFonts w:ascii="宋体" w:cs="宋体"/>
                <w:kern w:val="0"/>
                <w:sz w:val="24"/>
              </w:rPr>
              <w:t>0</w:t>
            </w:r>
            <w:r>
              <w:rPr>
                <w:rFonts w:ascii="宋体" w:cs="宋体" w:hint="eastAsia"/>
                <w:kern w:val="0"/>
                <w:sz w:val="24"/>
              </w:rPr>
              <w:t>0</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130</w:t>
            </w:r>
            <w:r>
              <w:rPr>
                <w:rFonts w:ascii="宋体" w:cs="宋体" w:hint="eastAsia"/>
                <w:kern w:val="0"/>
                <w:sz w:val="24"/>
              </w:rPr>
              <w:t>.</w:t>
            </w:r>
            <w:r>
              <w:rPr>
                <w:rFonts w:ascii="宋体" w:cs="宋体"/>
                <w:kern w:val="0"/>
                <w:sz w:val="24"/>
              </w:rPr>
              <w:t>0</w:t>
            </w:r>
            <w:r>
              <w:rPr>
                <w:rFonts w:ascii="宋体" w:cs="宋体" w:hint="eastAsia"/>
                <w:kern w:val="0"/>
                <w:sz w:val="24"/>
              </w:rPr>
              <w:t>0</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2010909</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海关关务</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9</w:t>
            </w:r>
            <w:r>
              <w:rPr>
                <w:rFonts w:ascii="宋体" w:cs="宋体"/>
                <w:kern w:val="0"/>
                <w:sz w:val="24"/>
              </w:rPr>
              <w:t>6</w:t>
            </w:r>
            <w:r>
              <w:rPr>
                <w:rFonts w:ascii="宋体" w:cs="宋体" w:hint="eastAsia"/>
                <w:kern w:val="0"/>
                <w:sz w:val="24"/>
              </w:rPr>
              <w:t>.</w:t>
            </w:r>
            <w:r>
              <w:rPr>
                <w:rFonts w:ascii="宋体" w:cs="宋体"/>
                <w:kern w:val="0"/>
                <w:sz w:val="24"/>
              </w:rPr>
              <w:t>53</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9</w:t>
            </w:r>
            <w:r>
              <w:rPr>
                <w:rFonts w:ascii="宋体" w:cs="宋体"/>
                <w:kern w:val="0"/>
                <w:sz w:val="24"/>
              </w:rPr>
              <w:t>6</w:t>
            </w:r>
            <w:r>
              <w:rPr>
                <w:rFonts w:ascii="宋体" w:cs="宋体" w:hint="eastAsia"/>
                <w:kern w:val="0"/>
                <w:sz w:val="24"/>
              </w:rPr>
              <w:t>.</w:t>
            </w:r>
            <w:r>
              <w:rPr>
                <w:rFonts w:ascii="宋体" w:cs="宋体"/>
                <w:kern w:val="0"/>
                <w:sz w:val="24"/>
              </w:rPr>
              <w:t>53</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2010912</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检验检疫</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126</w:t>
            </w:r>
            <w:r>
              <w:rPr>
                <w:rFonts w:ascii="宋体" w:cs="宋体" w:hint="eastAsia"/>
                <w:kern w:val="0"/>
                <w:sz w:val="24"/>
              </w:rPr>
              <w:t>.</w:t>
            </w:r>
            <w:r>
              <w:rPr>
                <w:rFonts w:ascii="宋体" w:cs="宋体"/>
                <w:kern w:val="0"/>
                <w:sz w:val="24"/>
              </w:rPr>
              <w:t>00</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126</w:t>
            </w:r>
            <w:r>
              <w:rPr>
                <w:rFonts w:ascii="宋体" w:cs="宋体" w:hint="eastAsia"/>
                <w:kern w:val="0"/>
                <w:sz w:val="24"/>
              </w:rPr>
              <w:t>.</w:t>
            </w:r>
            <w:r>
              <w:rPr>
                <w:rFonts w:ascii="宋体" w:cs="宋体"/>
                <w:kern w:val="0"/>
                <w:sz w:val="24"/>
              </w:rPr>
              <w:t>00</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2010950</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事业运行</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2,</w:t>
            </w:r>
            <w:r>
              <w:rPr>
                <w:rFonts w:ascii="宋体" w:cs="宋体"/>
                <w:kern w:val="0"/>
                <w:sz w:val="24"/>
              </w:rPr>
              <w:t>659</w:t>
            </w:r>
            <w:r>
              <w:rPr>
                <w:rFonts w:ascii="宋体" w:cs="宋体" w:hint="eastAsia"/>
                <w:kern w:val="0"/>
                <w:sz w:val="24"/>
              </w:rPr>
              <w:t>.</w:t>
            </w:r>
            <w:r>
              <w:rPr>
                <w:rFonts w:ascii="宋体" w:cs="宋体"/>
                <w:kern w:val="0"/>
                <w:sz w:val="24"/>
              </w:rPr>
              <w:t>3</w:t>
            </w:r>
            <w:r>
              <w:rPr>
                <w:rFonts w:ascii="宋体" w:cs="宋体" w:hint="eastAsia"/>
                <w:kern w:val="0"/>
                <w:sz w:val="24"/>
              </w:rPr>
              <w:t>1</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hint="eastAsia"/>
                <w:kern w:val="0"/>
                <w:sz w:val="24"/>
              </w:rPr>
              <w:t>2,</w:t>
            </w:r>
            <w:r>
              <w:rPr>
                <w:rFonts w:ascii="宋体" w:cs="宋体"/>
                <w:kern w:val="0"/>
                <w:sz w:val="24"/>
              </w:rPr>
              <w:t>659</w:t>
            </w:r>
            <w:r>
              <w:rPr>
                <w:rFonts w:ascii="宋体" w:cs="宋体" w:hint="eastAsia"/>
                <w:kern w:val="0"/>
                <w:sz w:val="24"/>
              </w:rPr>
              <w:t>.</w:t>
            </w:r>
            <w:r>
              <w:rPr>
                <w:rFonts w:ascii="宋体" w:cs="宋体"/>
                <w:kern w:val="0"/>
                <w:sz w:val="24"/>
              </w:rPr>
              <w:t>3</w:t>
            </w:r>
            <w:r>
              <w:rPr>
                <w:rFonts w:ascii="宋体" w:cs="宋体" w:hint="eastAsia"/>
                <w:kern w:val="0"/>
                <w:sz w:val="24"/>
              </w:rPr>
              <w:t>1</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208</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社会保障和就业支出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49</w:t>
            </w:r>
            <w:r>
              <w:rPr>
                <w:rFonts w:ascii="宋体" w:cs="宋体" w:hint="eastAsia"/>
                <w:kern w:val="0"/>
                <w:sz w:val="24"/>
              </w:rPr>
              <w:t>.</w:t>
            </w:r>
            <w:r>
              <w:rPr>
                <w:rFonts w:ascii="宋体" w:cs="宋体"/>
                <w:kern w:val="0"/>
                <w:sz w:val="24"/>
              </w:rPr>
              <w:t>77</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49</w:t>
            </w:r>
            <w:r>
              <w:rPr>
                <w:rFonts w:ascii="宋体" w:cs="宋体" w:hint="eastAsia"/>
                <w:kern w:val="0"/>
                <w:sz w:val="24"/>
              </w:rPr>
              <w:t>.</w:t>
            </w:r>
            <w:r>
              <w:rPr>
                <w:rFonts w:ascii="宋体" w:cs="宋体"/>
                <w:kern w:val="0"/>
                <w:sz w:val="24"/>
              </w:rPr>
              <w:t>77</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20805</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行政事业单位养老支出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49</w:t>
            </w:r>
            <w:r>
              <w:rPr>
                <w:rFonts w:ascii="宋体" w:cs="宋体" w:hint="eastAsia"/>
                <w:kern w:val="0"/>
                <w:sz w:val="24"/>
              </w:rPr>
              <w:t>.</w:t>
            </w:r>
            <w:r>
              <w:rPr>
                <w:rFonts w:ascii="宋体" w:cs="宋体"/>
                <w:kern w:val="0"/>
                <w:sz w:val="24"/>
              </w:rPr>
              <w:t>77</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49</w:t>
            </w:r>
            <w:r>
              <w:rPr>
                <w:rFonts w:ascii="宋体" w:cs="宋体" w:hint="eastAsia"/>
                <w:kern w:val="0"/>
                <w:sz w:val="24"/>
              </w:rPr>
              <w:t>.</w:t>
            </w:r>
            <w:r>
              <w:rPr>
                <w:rFonts w:ascii="宋体" w:cs="宋体"/>
                <w:kern w:val="0"/>
                <w:sz w:val="24"/>
              </w:rPr>
              <w:t>77</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2080505</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机关事业单位基本养老保险缴费支出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33.18</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33.18</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2080506</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机关事业单位职业年金缴费支出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16.59</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16.59</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221</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住房保障支出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142.77</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142.77</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22102</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住房改革支出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142.77</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142.77</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2210201</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住房公积金</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50.33</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50.33</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2210203</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购房补贴</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92.44</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92.44</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bCs/>
                <w:kern w:val="0"/>
                <w:sz w:val="24"/>
              </w:rPr>
            </w:pPr>
            <w:r>
              <w:rPr>
                <w:rFonts w:ascii="宋体" w:cs="宋体" w:hint="eastAsia"/>
                <w:bCs/>
                <w:kern w:val="0"/>
                <w:sz w:val="24"/>
              </w:rPr>
              <w:t>229</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bCs/>
                <w:kern w:val="0"/>
                <w:sz w:val="24"/>
              </w:rPr>
            </w:pPr>
            <w:r>
              <w:rPr>
                <w:rFonts w:ascii="宋体" w:cs="宋体"/>
                <w:bCs/>
                <w:kern w:val="0"/>
                <w:sz w:val="24"/>
              </w:rPr>
              <w:t>其他支出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22998</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超长期特别国债安排的其他支出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2299899</w:t>
            </w:r>
          </w:p>
        </w:tc>
        <w:tc>
          <w:tcPr>
            <w:tcW w:w="1424" w:type="pct"/>
            <w:tcBorders>
              <w:top w:val="nil"/>
              <w:left w:val="nil"/>
              <w:bottom w:val="single" w:sz="4" w:space="0" w:color="000000"/>
              <w:right w:val="single" w:sz="4" w:space="0" w:color="000000"/>
            </w:tcBorders>
            <w:shd w:val="clear" w:color="auto" w:fill="auto"/>
            <w:vAlign w:val="center"/>
          </w:tcPr>
          <w:p>
            <w:pPr>
              <w:widowControl/>
              <w:jc w:val="left"/>
              <w:rPr>
                <w:rFonts w:ascii="宋体" w:cs="宋体"/>
                <w:kern w:val="0"/>
                <w:sz w:val="24"/>
              </w:rPr>
            </w:pPr>
            <w:r>
              <w:rPr>
                <w:rFonts w:ascii="宋体" w:cs="宋体" w:hint="eastAsia"/>
                <w:kern w:val="0"/>
                <w:sz w:val="24"/>
              </w:rPr>
              <w:t>其他支出</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kern w:val="0"/>
                <w:sz w:val="24"/>
              </w:rPr>
            </w:pPr>
            <w:r>
              <w:rPr>
                <w:rFonts w:ascii="宋体" w:cs="宋体"/>
                <w:kern w:val="0"/>
                <w:sz w:val="24"/>
              </w:rPr>
              <w:t>34.05</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r>
      <w:tr>
        <w:trPr>
          <w:trHeight w:val="396"/>
        </w:trPr>
        <w:tc>
          <w:tcPr>
            <w:tcW w:w="631" w:type="pct"/>
            <w:tcBorders>
              <w:top w:val="nil"/>
              <w:left w:val="single" w:sz="4" w:space="0" w:color="000000"/>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c>
          <w:tcPr>
            <w:tcW w:w="1424" w:type="pct"/>
            <w:tcBorders>
              <w:top w:val="nil"/>
              <w:left w:val="nil"/>
              <w:bottom w:val="single" w:sz="4" w:space="0" w:color="000000"/>
              <w:right w:val="single" w:sz="4" w:space="0" w:color="000000"/>
            </w:tcBorders>
            <w:shd w:val="clear" w:color="auto" w:fill="auto"/>
            <w:vAlign w:val="center"/>
          </w:tcPr>
          <w:p>
            <w:pPr>
              <w:widowControl/>
              <w:jc w:val="center"/>
              <w:rPr>
                <w:rFonts w:ascii="宋体" w:cs="宋体"/>
                <w:b/>
                <w:bCs/>
                <w:kern w:val="0"/>
                <w:sz w:val="24"/>
              </w:rPr>
            </w:pPr>
            <w:r>
              <w:rPr>
                <w:rFonts w:ascii="宋体" w:cs="宋体" w:hint="eastAsia"/>
                <w:b/>
                <w:bCs/>
                <w:kern w:val="0"/>
                <w:sz w:val="24"/>
              </w:rPr>
              <w:t>合        计</w:t>
            </w:r>
          </w:p>
        </w:tc>
        <w:tc>
          <w:tcPr>
            <w:tcW w:w="522"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r>
              <w:rPr>
                <w:rFonts w:ascii="宋体" w:cs="宋体"/>
                <w:b/>
                <w:kern w:val="0"/>
                <w:sz w:val="24"/>
              </w:rPr>
              <w:t>3</w:t>
            </w:r>
            <w:r>
              <w:rPr>
                <w:rFonts w:ascii="宋体" w:cs="宋体" w:hint="eastAsia"/>
                <w:b/>
                <w:kern w:val="0"/>
                <w:sz w:val="24"/>
              </w:rPr>
              <w:t>,</w:t>
            </w:r>
            <w:r>
              <w:rPr>
                <w:rFonts w:ascii="宋体" w:cs="宋体"/>
                <w:b/>
                <w:kern w:val="0"/>
                <w:sz w:val="24"/>
              </w:rPr>
              <w:t>238</w:t>
            </w:r>
            <w:r>
              <w:rPr>
                <w:rFonts w:ascii="宋体" w:cs="宋体" w:hint="eastAsia"/>
                <w:b/>
                <w:kern w:val="0"/>
                <w:sz w:val="24"/>
              </w:rPr>
              <w:t>.</w:t>
            </w:r>
            <w:r>
              <w:rPr>
                <w:rFonts w:ascii="宋体" w:cs="宋体"/>
                <w:b/>
                <w:kern w:val="0"/>
                <w:sz w:val="24"/>
              </w:rPr>
              <w:t>43</w:t>
            </w: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r>
              <w:rPr>
                <w:rFonts w:ascii="宋体" w:cs="宋体" w:hint="eastAsia"/>
                <w:b/>
                <w:kern w:val="0"/>
                <w:sz w:val="24"/>
              </w:rPr>
              <w:t>2,</w:t>
            </w:r>
            <w:r>
              <w:rPr>
                <w:rFonts w:ascii="宋体" w:cs="宋体"/>
                <w:b/>
                <w:kern w:val="0"/>
                <w:sz w:val="24"/>
              </w:rPr>
              <w:t>851</w:t>
            </w:r>
            <w:r>
              <w:rPr>
                <w:rFonts w:ascii="宋体" w:cs="宋体" w:hint="eastAsia"/>
                <w:b/>
                <w:kern w:val="0"/>
                <w:sz w:val="24"/>
              </w:rPr>
              <w:t>.</w:t>
            </w:r>
            <w:r>
              <w:rPr>
                <w:rFonts w:ascii="宋体" w:cs="宋体"/>
                <w:b/>
                <w:kern w:val="0"/>
                <w:sz w:val="24"/>
              </w:rPr>
              <w:t>8</w:t>
            </w:r>
            <w:r>
              <w:rPr>
                <w:rFonts w:ascii="宋体" w:cs="宋体" w:hint="eastAsia"/>
                <w:b/>
                <w:kern w:val="0"/>
                <w:sz w:val="24"/>
              </w:rPr>
              <w:t>5</w:t>
            </w:r>
          </w:p>
        </w:tc>
        <w:tc>
          <w:tcPr>
            <w:tcW w:w="519"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r>
              <w:rPr>
                <w:rFonts w:ascii="宋体" w:cs="宋体" w:hint="eastAsia"/>
                <w:b/>
                <w:kern w:val="0"/>
                <w:sz w:val="24"/>
              </w:rPr>
              <w:t>3</w:t>
            </w:r>
            <w:r>
              <w:rPr>
                <w:rFonts w:ascii="宋体" w:cs="宋体"/>
                <w:b/>
                <w:kern w:val="0"/>
                <w:sz w:val="24"/>
              </w:rPr>
              <w:t>86</w:t>
            </w:r>
            <w:r>
              <w:rPr>
                <w:rFonts w:ascii="宋体" w:cs="宋体" w:hint="eastAsia"/>
                <w:b/>
                <w:kern w:val="0"/>
                <w:sz w:val="24"/>
              </w:rPr>
              <w:t>.</w:t>
            </w:r>
            <w:r>
              <w:rPr>
                <w:rFonts w:ascii="宋体" w:cs="宋体"/>
                <w:b/>
                <w:kern w:val="0"/>
                <w:sz w:val="24"/>
              </w:rPr>
              <w:t>58</w:t>
            </w:r>
          </w:p>
        </w:tc>
        <w:tc>
          <w:tcPr>
            <w:tcW w:w="480"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kern w:val="0"/>
                <w:sz w:val="24"/>
              </w:rPr>
            </w:pPr>
          </w:p>
        </w:tc>
        <w:tc>
          <w:tcPr>
            <w:tcW w:w="473"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c>
          <w:tcPr>
            <w:tcW w:w="475" w:type="pct"/>
            <w:tcBorders>
              <w:top w:val="nil"/>
              <w:left w:val="nil"/>
              <w:bottom w:val="single" w:sz="4" w:space="0" w:color="000000"/>
              <w:right w:val="single" w:sz="4" w:space="0" w:color="000000"/>
            </w:tcBorders>
            <w:shd w:val="clear" w:color="auto" w:fill="auto"/>
            <w:vAlign w:val="center"/>
          </w:tcPr>
          <w:p>
            <w:pPr>
              <w:widowControl/>
              <w:jc w:val="right"/>
              <w:rPr>
                <w:rFonts w:ascii="宋体" w:cs="宋体"/>
                <w:b/>
                <w:bCs/>
                <w:kern w:val="0"/>
                <w:sz w:val="24"/>
              </w:rPr>
            </w:pPr>
          </w:p>
        </w:tc>
      </w:tr>
    </w:tbl>
    <w:p>
      <w:pPr>
        <w:pStyle w:val="524"/>
        <w:rPr>
          <w:rFonts w:ascii="Times New Roman" w:eastAsia="宋体" w:hAnsi="Times New Roman"/>
          <w:color w:val="auto"/>
        </w:rPr>
        <w:sectPr>
          <w:pgSz w:w="16840" w:h="11907" w:orient="landscape"/>
          <w:pgMar w:top="1431" w:right="451" w:bottom="0" w:left="451" w:header="0" w:footer="0" w:gutter="0"/>
          <w:docGrid w:linePitch="285" w:charSpace="0"/>
        </w:sectPr>
      </w:pPr>
    </w:p>
    <w:p>
      <w:pPr>
        <w:pStyle w:val="527"/>
        <w:jc w:val="right"/>
        <w:rPr>
          <w:rFonts w:cs="Microsoft JhengHei"/>
          <w:b/>
          <w:snapToGrid w:val="0"/>
          <w:sz w:val="36"/>
          <w:szCs w:val="36"/>
        </w:rPr>
      </w:pPr>
    </w:p>
    <w:p>
      <w:pPr>
        <w:pStyle w:val="749"/>
        <w:ind w:right="1300"/>
        <w:jc w:val="right"/>
        <w:rPr>
          <w:rFonts w:ascii="方正黑体_GBK" w:eastAsia="方正黑体_GBK" w:cs="方正黑体_GBK"/>
          <w:b/>
          <w:sz w:val="20"/>
          <w:szCs w:val="20"/>
        </w:rPr>
      </w:pPr>
      <w:r>
        <w:rPr>
          <w:rFonts w:ascii="黑体" w:eastAsia="黑体" w:cs="黑体" w:hint="eastAsia"/>
          <w:b/>
          <w:sz w:val="20"/>
          <w:szCs w:val="20"/>
        </w:rPr>
        <w:t>部门公开表</w:t>
      </w:r>
      <w:r>
        <w:rPr>
          <w:rFonts w:ascii="黑体" w:eastAsia="黑体" w:cs="黑体"/>
          <w:b/>
          <w:sz w:val="20"/>
          <w:szCs w:val="20"/>
        </w:rPr>
        <w:t>4</w:t>
      </w:r>
    </w:p>
    <w:p>
      <w:pPr>
        <w:pStyle w:val="527"/>
        <w:jc w:val="center"/>
        <w:rPr>
          <w:rFonts w:cs="Microsoft JhengHei"/>
          <w:sz w:val="40"/>
          <w:szCs w:val="40"/>
        </w:rPr>
      </w:pPr>
      <w:r>
        <w:rPr>
          <w:rFonts w:cs="Microsoft JhengHei" w:hint="eastAsia"/>
          <w:b/>
          <w:snapToGrid w:val="0"/>
          <w:sz w:val="36"/>
          <w:szCs w:val="36"/>
        </w:rPr>
        <w:t>财政拨款收支总表</w:t>
      </w:r>
    </w:p>
    <w:p>
      <w:pPr>
        <w:pStyle w:val="528"/>
        <w:spacing w:before="49" w:line="180" w:lineRule="auto"/>
        <w:ind w:right="388" w:firstLine="12990"/>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单位：万元</w:t>
      </w:r>
    </w:p>
    <w:p>
      <w:pPr>
        <w:pStyle w:val="528"/>
        <w:spacing w:line="48" w:lineRule="auto"/>
        <w:rPr>
          <w:rFonts w:ascii="Times New Roman" w:eastAsia="宋体" w:hAnsi="Times New Roman"/>
          <w:color w:val="auto"/>
          <w:sz w:val="2"/>
        </w:rPr>
      </w:pPr>
    </w:p>
    <w:tbl>
      <w:tblPr>
        <w:tblpPr w:leftFromText="180" w:rightFromText="180" w:vertAnchor="text" w:horzAnchor="page" w:tblpX="1751" w:tblpY="23"/>
        <w:tblOverlap w:val="never"/>
        <w:tblW w:w="13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3970"/>
        <w:gridCol w:w="2698"/>
        <w:gridCol w:w="3969"/>
        <w:gridCol w:w="2541"/>
      </w:tblGrid>
      <w:tr>
        <w:trPr>
          <w:trHeight w:val="507"/>
        </w:trPr>
        <w:tc>
          <w:tcPr>
            <w:tcW w:w="6668" w:type="dxa"/>
            <w:gridSpan w:val="2"/>
            <w:tcBorders>
              <w:tl2br w:val="nil"/>
              <w:tr2bl w:val="nil"/>
            </w:tcBorders>
            <w:vAlign w:val="center"/>
          </w:tcPr>
          <w:p>
            <w:pPr>
              <w:pStyle w:val="528"/>
              <w:jc w:val="center"/>
              <w:rPr>
                <w:rFonts w:ascii="Times New Roman" w:eastAsia="宋体" w:hAnsi="Times New Roman"/>
                <w:color w:val="auto"/>
                <w:sz w:val="24"/>
                <w:szCs w:val="24"/>
              </w:rPr>
            </w:pPr>
            <w:r>
              <w:rPr>
                <w:rFonts w:ascii="Times New Roman" w:eastAsia="宋体" w:hAnsi="Times New Roman"/>
                <w:color w:val="auto"/>
                <w:sz w:val="24"/>
                <w:szCs w:val="24"/>
              </w:rPr>
              <w:t>收             入</w:t>
            </w:r>
          </w:p>
        </w:tc>
        <w:tc>
          <w:tcPr>
            <w:tcW w:w="6510" w:type="dxa"/>
            <w:gridSpan w:val="2"/>
            <w:tcBorders>
              <w:tl2br w:val="nil"/>
              <w:tr2bl w:val="nil"/>
            </w:tcBorders>
            <w:vAlign w:val="center"/>
          </w:tcPr>
          <w:p>
            <w:pPr>
              <w:pStyle w:val="529"/>
              <w:jc w:val="center"/>
              <w:rPr>
                <w:rFonts w:ascii="Times New Roman" w:eastAsia="宋体" w:hAnsi="Times New Roman"/>
                <w:color w:val="auto"/>
                <w:sz w:val="24"/>
                <w:szCs w:val="24"/>
              </w:rPr>
            </w:pPr>
            <w:r>
              <w:rPr>
                <w:rFonts w:ascii="Times New Roman" w:eastAsia="宋体" w:hAnsi="Times New Roman"/>
                <w:color w:val="auto"/>
                <w:sz w:val="24"/>
                <w:szCs w:val="24"/>
              </w:rPr>
              <w:t>支        出</w:t>
            </w:r>
          </w:p>
        </w:tc>
      </w:tr>
      <w:tr>
        <w:trPr>
          <w:trHeight w:val="498"/>
        </w:trPr>
        <w:tc>
          <w:tcPr>
            <w:tcW w:w="3970" w:type="dxa"/>
            <w:tcBorders>
              <w:tl2br w:val="nil"/>
              <w:tr2bl w:val="nil"/>
            </w:tcBorders>
            <w:vAlign w:val="center"/>
          </w:tcPr>
          <w:p>
            <w:pPr>
              <w:pStyle w:val="528"/>
              <w:spacing w:before="39" w:line="182"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3"/>
                <w:sz w:val="24"/>
                <w:szCs w:val="24"/>
              </w:rPr>
              <w:t>项       目</w:t>
            </w:r>
          </w:p>
        </w:tc>
        <w:tc>
          <w:tcPr>
            <w:tcW w:w="2698" w:type="dxa"/>
            <w:tcBorders>
              <w:tl2br w:val="nil"/>
              <w:tr2bl w:val="nil"/>
            </w:tcBorders>
            <w:vAlign w:val="center"/>
          </w:tcPr>
          <w:p>
            <w:pPr>
              <w:pStyle w:val="528"/>
              <w:spacing w:before="39" w:line="182"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预  算  数</w:t>
            </w:r>
          </w:p>
        </w:tc>
        <w:tc>
          <w:tcPr>
            <w:tcW w:w="3969" w:type="dxa"/>
            <w:tcBorders>
              <w:tl2br w:val="nil"/>
              <w:tr2bl w:val="nil"/>
            </w:tcBorders>
            <w:vAlign w:val="center"/>
          </w:tcPr>
          <w:p>
            <w:pPr>
              <w:pStyle w:val="528"/>
              <w:spacing w:before="39" w:line="182"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3"/>
                <w:sz w:val="24"/>
                <w:szCs w:val="24"/>
              </w:rPr>
              <w:t>项     目</w:t>
            </w:r>
          </w:p>
        </w:tc>
        <w:tc>
          <w:tcPr>
            <w:tcW w:w="2541" w:type="dxa"/>
            <w:tcBorders>
              <w:tl2br w:val="nil"/>
              <w:tr2bl w:val="nil"/>
            </w:tcBorders>
            <w:vAlign w:val="center"/>
          </w:tcPr>
          <w:p>
            <w:pPr>
              <w:pStyle w:val="528"/>
              <w:spacing w:before="39" w:line="182"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预  算  数</w:t>
            </w: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一、本年收入</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hint="eastAsia"/>
                <w:color w:val="auto"/>
                <w:sz w:val="28"/>
                <w:szCs w:val="28"/>
              </w:rPr>
              <w:t>5</w:t>
            </w:r>
            <w:r>
              <w:rPr>
                <w:rFonts w:ascii="Times New Roman" w:eastAsia="宋体" w:cs="Times New Roman" w:hAnsi="Times New Roman"/>
                <w:color w:val="auto"/>
                <w:sz w:val="28"/>
                <w:szCs w:val="28"/>
              </w:rPr>
              <w:t>1</w:t>
            </w:r>
            <w:r>
              <w:rPr>
                <w:rFonts w:ascii="Times New Roman" w:eastAsia="宋体" w:cs="Times New Roman" w:hAnsi="Times New Roman" w:hint="eastAsia"/>
                <w:color w:val="auto"/>
                <w:sz w:val="28"/>
                <w:szCs w:val="28"/>
              </w:rPr>
              <w:t>4.</w:t>
            </w:r>
            <w:r>
              <w:rPr>
                <w:rFonts w:ascii="Times New Roman" w:eastAsia="宋体" w:cs="Times New Roman" w:hAnsi="Times New Roman"/>
                <w:color w:val="auto"/>
                <w:sz w:val="28"/>
                <w:szCs w:val="28"/>
              </w:rPr>
              <w:t>1</w:t>
            </w:r>
            <w:r>
              <w:rPr>
                <w:rFonts w:ascii="Times New Roman" w:eastAsia="宋体" w:cs="Times New Roman" w:hAnsi="Times New Roman" w:hint="eastAsia"/>
                <w:color w:val="auto"/>
                <w:sz w:val="28"/>
                <w:szCs w:val="28"/>
              </w:rPr>
              <w:t>0</w:t>
            </w:r>
          </w:p>
        </w:tc>
        <w:tc>
          <w:tcPr>
            <w:tcW w:w="3969"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一、本年支出</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734</w:t>
            </w:r>
            <w:r>
              <w:rPr>
                <w:rFonts w:ascii="Times New Roman" w:eastAsia="宋体" w:cs="Times New Roman" w:hAnsi="Times New Roman" w:hint="eastAsia"/>
                <w:color w:val="auto"/>
                <w:sz w:val="28"/>
                <w:szCs w:val="28"/>
              </w:rPr>
              <w:t>.</w:t>
            </w:r>
            <w:r>
              <w:rPr>
                <w:rFonts w:ascii="Times New Roman" w:eastAsia="宋体" w:cs="Times New Roman" w:hAnsi="Times New Roman"/>
                <w:color w:val="auto"/>
                <w:sz w:val="28"/>
                <w:szCs w:val="28"/>
              </w:rPr>
              <w:t>63</w:t>
            </w: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（一）一般公共预算财政拨款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hint="eastAsia"/>
                <w:color w:val="auto"/>
                <w:sz w:val="28"/>
                <w:szCs w:val="28"/>
              </w:rPr>
              <w:t>5</w:t>
            </w:r>
            <w:r>
              <w:rPr>
                <w:rFonts w:ascii="Times New Roman" w:eastAsia="宋体" w:cs="Times New Roman" w:hAnsi="Times New Roman"/>
                <w:color w:val="auto"/>
                <w:sz w:val="28"/>
                <w:szCs w:val="28"/>
              </w:rPr>
              <w:t>1</w:t>
            </w:r>
            <w:r>
              <w:rPr>
                <w:rFonts w:ascii="Times New Roman" w:eastAsia="宋体" w:cs="Times New Roman" w:hAnsi="Times New Roman" w:hint="eastAsia"/>
                <w:color w:val="auto"/>
                <w:sz w:val="28"/>
                <w:szCs w:val="28"/>
              </w:rPr>
              <w:t>4.</w:t>
            </w:r>
            <w:r>
              <w:rPr>
                <w:rFonts w:ascii="Times New Roman" w:eastAsia="宋体" w:cs="Times New Roman" w:hAnsi="Times New Roman"/>
                <w:color w:val="auto"/>
                <w:sz w:val="28"/>
                <w:szCs w:val="28"/>
              </w:rPr>
              <w:t>1</w:t>
            </w:r>
            <w:r>
              <w:rPr>
                <w:rFonts w:ascii="Times New Roman" w:eastAsia="宋体" w:cs="Times New Roman" w:hAnsi="Times New Roman" w:hint="eastAsia"/>
                <w:color w:val="auto"/>
                <w:sz w:val="28"/>
                <w:szCs w:val="28"/>
              </w:rPr>
              <w:t>0</w:t>
            </w:r>
          </w:p>
        </w:tc>
        <w:tc>
          <w:tcPr>
            <w:tcW w:w="3969"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（一）一般公共服务支出</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612</w:t>
            </w:r>
            <w:r>
              <w:rPr>
                <w:rFonts w:ascii="Times New Roman" w:eastAsia="宋体" w:cs="Times New Roman" w:hAnsi="Times New Roman" w:hint="eastAsia"/>
                <w:color w:val="auto"/>
                <w:sz w:val="28"/>
                <w:szCs w:val="28"/>
              </w:rPr>
              <w:t>.</w:t>
            </w:r>
            <w:r>
              <w:rPr>
                <w:rFonts w:ascii="Times New Roman" w:eastAsia="宋体" w:cs="Times New Roman" w:hAnsi="Times New Roman"/>
                <w:color w:val="auto"/>
                <w:sz w:val="28"/>
                <w:szCs w:val="28"/>
              </w:rPr>
              <w:t>44</w:t>
            </w:r>
          </w:p>
        </w:tc>
      </w:tr>
      <w:tr>
        <w:trPr>
          <w:trHeight w:val="499"/>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（二）政府性基金预算财政拨款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（二）社会保障和就业支出</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49.77</w:t>
            </w: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（三）国有资本经营预算拨款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（三）住房保障支出</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hint="eastAsia"/>
                <w:color w:val="auto"/>
                <w:sz w:val="28"/>
                <w:szCs w:val="28"/>
              </w:rPr>
              <w:t>3</w:t>
            </w:r>
            <w:r>
              <w:rPr>
                <w:rFonts w:ascii="Times New Roman" w:eastAsia="宋体" w:cs="Times New Roman" w:hAnsi="Times New Roman"/>
                <w:color w:val="auto"/>
                <w:sz w:val="28"/>
                <w:szCs w:val="28"/>
              </w:rPr>
              <w:t>8</w:t>
            </w:r>
            <w:r>
              <w:rPr>
                <w:rFonts w:ascii="Times New Roman" w:eastAsia="宋体" w:cs="Times New Roman" w:hAnsi="Times New Roman" w:hint="eastAsia"/>
                <w:color w:val="auto"/>
                <w:sz w:val="28"/>
                <w:szCs w:val="28"/>
              </w:rPr>
              <w:t>.</w:t>
            </w:r>
            <w:r>
              <w:rPr>
                <w:rFonts w:ascii="Times New Roman" w:eastAsia="宋体" w:cs="Times New Roman" w:hAnsi="Times New Roman"/>
                <w:color w:val="auto"/>
                <w:sz w:val="28"/>
                <w:szCs w:val="28"/>
              </w:rPr>
              <w:t>37</w:t>
            </w:r>
          </w:p>
        </w:tc>
      </w:tr>
      <w:tr>
        <w:trPr>
          <w:trHeight w:val="498"/>
        </w:trPr>
        <w:tc>
          <w:tcPr>
            <w:tcW w:w="3970" w:type="dxa"/>
            <w:tcBorders>
              <w:tl2br w:val="nil"/>
              <w:tr2bl w:val="nil"/>
            </w:tcBorders>
            <w:vAlign w:val="center"/>
          </w:tcPr>
          <w:p>
            <w:pPr>
              <w:pStyle w:val="528"/>
              <w:rPr>
                <w:rFonts w:ascii="Times New Roman" w:eastAsia="宋体" w:hAnsi="Times New Roman"/>
                <w:color w:val="auto"/>
                <w:sz w:val="24"/>
                <w:szCs w:val="24"/>
              </w:rPr>
            </w:pP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（四）其他支出</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34.05</w:t>
            </w: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二、上年结转</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220</w:t>
            </w:r>
            <w:r>
              <w:rPr>
                <w:rFonts w:ascii="Times New Roman" w:eastAsia="宋体" w:cs="Times New Roman" w:hAnsi="Times New Roman" w:hint="eastAsia"/>
                <w:color w:val="auto"/>
                <w:sz w:val="28"/>
                <w:szCs w:val="28"/>
              </w:rPr>
              <w:t>.</w:t>
            </w:r>
            <w:r>
              <w:rPr>
                <w:rFonts w:ascii="Times New Roman" w:eastAsia="宋体" w:cs="Times New Roman" w:hAnsi="Times New Roman"/>
                <w:color w:val="auto"/>
                <w:sz w:val="28"/>
                <w:szCs w:val="28"/>
              </w:rPr>
              <w:t>53</w:t>
            </w:r>
          </w:p>
        </w:tc>
        <w:tc>
          <w:tcPr>
            <w:tcW w:w="3969" w:type="dxa"/>
            <w:tcBorders>
              <w:tl2br w:val="nil"/>
              <w:tr2bl w:val="nil"/>
            </w:tcBorders>
            <w:vAlign w:val="center"/>
          </w:tcPr>
          <w:p>
            <w:pPr>
              <w:pStyle w:val="528"/>
              <w:ind w:leftChars="100" w:left="210"/>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（一）一般公共预算财政拨款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hint="eastAsia"/>
                <w:color w:val="auto"/>
                <w:sz w:val="28"/>
                <w:szCs w:val="28"/>
              </w:rPr>
              <w:t>1</w:t>
            </w:r>
            <w:r>
              <w:rPr>
                <w:rFonts w:ascii="Times New Roman" w:eastAsia="宋体" w:cs="Times New Roman" w:hAnsi="Times New Roman"/>
                <w:color w:val="auto"/>
                <w:sz w:val="28"/>
                <w:szCs w:val="28"/>
              </w:rPr>
              <w:t>86</w:t>
            </w:r>
            <w:r>
              <w:rPr>
                <w:rFonts w:ascii="Times New Roman" w:eastAsia="宋体" w:cs="Times New Roman" w:hAnsi="Times New Roman" w:hint="eastAsia"/>
                <w:color w:val="auto"/>
                <w:sz w:val="28"/>
                <w:szCs w:val="28"/>
              </w:rPr>
              <w:t>.</w:t>
            </w:r>
            <w:r>
              <w:rPr>
                <w:rFonts w:ascii="Times New Roman" w:eastAsia="宋体" w:cs="Times New Roman" w:hAnsi="Times New Roman"/>
                <w:color w:val="auto"/>
                <w:sz w:val="28"/>
                <w:szCs w:val="28"/>
              </w:rPr>
              <w:t>48</w:t>
            </w:r>
          </w:p>
        </w:tc>
        <w:tc>
          <w:tcPr>
            <w:tcW w:w="3969" w:type="dxa"/>
            <w:tcBorders>
              <w:tl2br w:val="nil"/>
              <w:tr2bl w:val="nil"/>
            </w:tcBorders>
            <w:vAlign w:val="center"/>
          </w:tcPr>
          <w:p>
            <w:pPr>
              <w:pStyle w:val="528"/>
              <w:ind w:leftChars="100" w:left="210"/>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（二）政府性基金预算财政拨款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34.05</w:t>
            </w:r>
          </w:p>
        </w:tc>
        <w:tc>
          <w:tcPr>
            <w:tcW w:w="3969" w:type="dxa"/>
            <w:tcBorders>
              <w:tl2br w:val="nil"/>
              <w:tr2bl w:val="nil"/>
            </w:tcBorders>
            <w:vAlign w:val="center"/>
          </w:tcPr>
          <w:p>
            <w:pPr>
              <w:pStyle w:val="528"/>
              <w:ind w:leftChars="100" w:left="210"/>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498"/>
        </w:trPr>
        <w:tc>
          <w:tcPr>
            <w:tcW w:w="3970" w:type="dxa"/>
            <w:tcBorders>
              <w:tl2br w:val="nil"/>
              <w:tr2bl w:val="nil"/>
            </w:tcBorders>
            <w:vAlign w:val="center"/>
          </w:tcPr>
          <w:p>
            <w:pPr>
              <w:pStyle w:val="528"/>
              <w:ind w:leftChars="100" w:left="210"/>
              <w:rPr>
                <w:rFonts w:ascii="Times New Roman" w:eastAsia="宋体" w:hAnsi="Times New Roman"/>
                <w:color w:val="auto"/>
                <w:sz w:val="24"/>
                <w:szCs w:val="24"/>
              </w:rPr>
            </w:pPr>
            <w:r>
              <w:rPr>
                <w:rFonts w:ascii="Times New Roman" w:eastAsia="宋体" w:hAnsi="Times New Roman" w:hint="eastAsia"/>
                <w:color w:val="auto"/>
                <w:sz w:val="24"/>
                <w:szCs w:val="24"/>
              </w:rPr>
              <w:t>（三）国有资本经营预算拨款</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tcPr>
          <w:p>
            <w:pPr>
              <w:pStyle w:val="528"/>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500"/>
        </w:trPr>
        <w:tc>
          <w:tcPr>
            <w:tcW w:w="3970" w:type="dxa"/>
            <w:tcBorders>
              <w:tl2br w:val="nil"/>
              <w:tr2bl w:val="nil"/>
            </w:tcBorders>
          </w:tcPr>
          <w:p>
            <w:pPr>
              <w:pStyle w:val="528"/>
              <w:rPr>
                <w:rFonts w:ascii="Times New Roman" w:eastAsia="宋体" w:hAnsi="Times New Roman"/>
                <w:color w:val="auto"/>
                <w:sz w:val="24"/>
                <w:szCs w:val="24"/>
              </w:rPr>
            </w:pP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tcPr>
          <w:p>
            <w:pPr>
              <w:pStyle w:val="528"/>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498"/>
        </w:trPr>
        <w:tc>
          <w:tcPr>
            <w:tcW w:w="3970" w:type="dxa"/>
            <w:tcBorders>
              <w:tl2br w:val="nil"/>
              <w:tr2bl w:val="nil"/>
            </w:tcBorders>
          </w:tcPr>
          <w:p>
            <w:pPr>
              <w:pStyle w:val="528"/>
              <w:rPr>
                <w:rFonts w:ascii="Times New Roman" w:eastAsia="宋体" w:hAnsi="Times New Roman"/>
                <w:color w:val="auto"/>
                <w:sz w:val="24"/>
                <w:szCs w:val="24"/>
              </w:rPr>
            </w:pP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tcPr>
          <w:p>
            <w:pPr>
              <w:pStyle w:val="528"/>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498"/>
        </w:trPr>
        <w:tc>
          <w:tcPr>
            <w:tcW w:w="3970" w:type="dxa"/>
            <w:tcBorders>
              <w:tl2br w:val="nil"/>
              <w:tr2bl w:val="nil"/>
            </w:tcBorders>
          </w:tcPr>
          <w:p>
            <w:pPr>
              <w:pStyle w:val="528"/>
              <w:rPr>
                <w:rFonts w:ascii="Times New Roman" w:eastAsia="宋体" w:hAnsi="Times New Roman"/>
                <w:color w:val="auto"/>
                <w:sz w:val="24"/>
                <w:szCs w:val="24"/>
              </w:rPr>
            </w:pP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p>
        </w:tc>
        <w:tc>
          <w:tcPr>
            <w:tcW w:w="3969" w:type="dxa"/>
            <w:tcBorders>
              <w:tl2br w:val="nil"/>
              <w:tr2bl w:val="nil"/>
            </w:tcBorders>
          </w:tcPr>
          <w:p>
            <w:pPr>
              <w:pStyle w:val="528"/>
              <w:jc w:val="center"/>
              <w:rPr>
                <w:rFonts w:ascii="Times New Roman" w:eastAsia="宋体" w:hAnsi="Times New Roman"/>
                <w:color w:val="auto"/>
                <w:sz w:val="24"/>
                <w:szCs w:val="24"/>
              </w:rPr>
            </w:pP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p>
        </w:tc>
      </w:tr>
      <w:tr>
        <w:trPr>
          <w:trHeight w:val="506"/>
        </w:trPr>
        <w:tc>
          <w:tcPr>
            <w:tcW w:w="3970" w:type="dxa"/>
            <w:tcBorders>
              <w:tl2br w:val="nil"/>
              <w:tr2bl w:val="nil"/>
            </w:tcBorders>
          </w:tcPr>
          <w:p>
            <w:pPr>
              <w:pStyle w:val="528"/>
              <w:spacing w:before="111" w:line="185" w:lineRule="auto"/>
              <w:ind w:firstLine="992"/>
              <w:rPr>
                <w:rFonts w:ascii="Times New Roman" w:eastAsia="宋体" w:cs="宋体" w:hAnsi="Times New Roman"/>
                <w:color w:val="auto"/>
                <w:sz w:val="24"/>
                <w:szCs w:val="24"/>
              </w:rPr>
            </w:pPr>
            <w:r>
              <w:rPr>
                <w:rFonts w:ascii="Times New Roman" w:eastAsia="宋体" w:cs="宋体" w:hAnsi="Times New Roman" w:hint="eastAsia"/>
                <w:color w:val="auto"/>
                <w:spacing w:val="-11"/>
                <w:sz w:val="24"/>
                <w:szCs w:val="24"/>
              </w:rPr>
              <w:t>收入总计</w:t>
            </w:r>
          </w:p>
        </w:tc>
        <w:tc>
          <w:tcPr>
            <w:tcW w:w="2698"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734.63</w:t>
            </w:r>
          </w:p>
        </w:tc>
        <w:tc>
          <w:tcPr>
            <w:tcW w:w="3969" w:type="dxa"/>
            <w:tcBorders>
              <w:tl2br w:val="nil"/>
              <w:tr2bl w:val="nil"/>
            </w:tcBorders>
          </w:tcPr>
          <w:p>
            <w:pPr>
              <w:pStyle w:val="528"/>
              <w:spacing w:before="111" w:line="185" w:lineRule="auto"/>
              <w:ind w:firstLine="499"/>
              <w:jc w:val="center"/>
              <w:rPr>
                <w:rFonts w:ascii="Times New Roman" w:eastAsia="宋体" w:cs="宋体" w:hAnsi="Times New Roman"/>
                <w:color w:val="auto"/>
                <w:sz w:val="24"/>
                <w:szCs w:val="24"/>
              </w:rPr>
            </w:pPr>
            <w:r>
              <w:rPr>
                <w:rFonts w:ascii="Times New Roman" w:eastAsia="宋体" w:cs="宋体" w:hAnsi="Times New Roman" w:hint="eastAsia"/>
                <w:color w:val="auto"/>
                <w:spacing w:val="-15"/>
                <w:sz w:val="24"/>
                <w:szCs w:val="24"/>
              </w:rPr>
              <w:t>支出总计</w:t>
            </w:r>
          </w:p>
        </w:tc>
        <w:tc>
          <w:tcPr>
            <w:tcW w:w="2541" w:type="dxa"/>
            <w:tcBorders>
              <w:tl2br w:val="nil"/>
              <w:tr2bl w:val="nil"/>
            </w:tcBorders>
            <w:vAlign w:val="center"/>
          </w:tcPr>
          <w:p>
            <w:pPr>
              <w:pStyle w:val="530"/>
              <w:jc w:val="center"/>
              <w:rPr>
                <w:rFonts w:ascii="Times New Roman" w:eastAsia="宋体" w:cs="Times New Roman" w:hAnsi="Times New Roman"/>
                <w:color w:val="auto"/>
                <w:sz w:val="28"/>
                <w:szCs w:val="28"/>
              </w:rPr>
            </w:pPr>
            <w:r>
              <w:rPr>
                <w:rFonts w:ascii="Times New Roman" w:eastAsia="宋体" w:cs="Times New Roman" w:hAnsi="Times New Roman"/>
                <w:color w:val="auto"/>
                <w:sz w:val="28"/>
                <w:szCs w:val="28"/>
              </w:rPr>
              <w:t>734.63</w:t>
            </w:r>
          </w:p>
        </w:tc>
      </w:tr>
    </w:tbl>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pPr>
    </w:p>
    <w:p>
      <w:pPr>
        <w:pStyle w:val="528"/>
        <w:rPr>
          <w:rFonts w:ascii="Times New Roman" w:eastAsia="宋体" w:hAnsi="Times New Roman"/>
          <w:color w:val="auto"/>
        </w:rPr>
        <w:sectPr>
          <w:pgSz w:w="16840" w:h="11907" w:orient="landscape"/>
          <w:pgMar w:top="1324" w:right="548" w:bottom="1322" w:left="0" w:header="0" w:footer="0" w:gutter="0"/>
          <w:docGrid w:linePitch="285" w:charSpace="0"/>
        </w:sectPr>
      </w:pPr>
    </w:p>
    <w:p>
      <w:pPr>
        <w:pStyle w:val="527"/>
        <w:jc w:val="right"/>
        <w:rPr>
          <w:rFonts w:ascii="黑体" w:eastAsia="黑体" w:cs="黑体"/>
          <w:snapToGrid w:val="0"/>
          <w:sz w:val="20"/>
          <w:szCs w:val="20"/>
        </w:rPr>
      </w:pPr>
    </w:p>
    <w:p>
      <w:pPr>
        <w:pStyle w:val="527"/>
        <w:ind w:right="500"/>
        <w:jc w:val="right"/>
        <w:rPr>
          <w:rFonts w:ascii="黑体" w:eastAsia="黑体" w:cs="黑体"/>
          <w:b/>
          <w:sz w:val="20"/>
          <w:szCs w:val="20"/>
        </w:rPr>
      </w:pPr>
      <w:r>
        <w:rPr>
          <w:rFonts w:ascii="黑体" w:eastAsia="黑体" w:cs="黑体" w:hint="eastAsia"/>
          <w:b/>
          <w:snapToGrid w:val="0"/>
          <w:sz w:val="20"/>
          <w:szCs w:val="20"/>
        </w:rPr>
        <w:t>部门公开表 5</w:t>
      </w:r>
    </w:p>
    <w:p>
      <w:pPr>
        <w:pStyle w:val="527"/>
        <w:jc w:val="center"/>
        <w:rPr>
          <w:rFonts w:cs="Microsoft JhengHei"/>
          <w:b/>
          <w:snapToGrid w:val="0"/>
          <w:sz w:val="36"/>
          <w:szCs w:val="36"/>
        </w:rPr>
      </w:pPr>
      <w:r>
        <w:rPr>
          <w:rFonts w:cs="Microsoft JhengHei" w:hint="eastAsia"/>
          <w:b/>
          <w:snapToGrid w:val="0"/>
          <w:sz w:val="36"/>
          <w:szCs w:val="36"/>
        </w:rPr>
        <w:t xml:space="preserve">一般公共预算支出表 </w:t>
      </w:r>
    </w:p>
    <w:p>
      <w:pPr>
        <w:pStyle w:val="538"/>
        <w:spacing w:before="39" w:line="180" w:lineRule="auto"/>
        <w:ind w:right="388" w:firstLineChars="7001" w:firstLine="13582"/>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 xml:space="preserve">        单位：万元</w:t>
      </w:r>
    </w:p>
    <w:p>
      <w:pPr>
        <w:pStyle w:val="538"/>
        <w:spacing w:line="19" w:lineRule="auto"/>
        <w:jc w:val="center"/>
        <w:rPr>
          <w:rFonts w:ascii="Times New Roman" w:eastAsia="宋体" w:hAnsi="Times New Roman"/>
          <w:color w:val="auto"/>
          <w:sz w:val="2"/>
        </w:rPr>
      </w:pPr>
    </w:p>
    <w:tbl>
      <w:tblPr>
        <w:jc w:val="left"/>
        <w:tblInd w:w="1648" w:type="dxa"/>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051"/>
        <w:gridCol w:w="2551"/>
        <w:gridCol w:w="851"/>
        <w:gridCol w:w="992"/>
        <w:gridCol w:w="992"/>
        <w:gridCol w:w="992"/>
        <w:gridCol w:w="993"/>
        <w:gridCol w:w="1275"/>
        <w:gridCol w:w="993"/>
        <w:gridCol w:w="992"/>
        <w:gridCol w:w="1134"/>
        <w:gridCol w:w="1134"/>
      </w:tblGrid>
      <w:tr>
        <w:trPr>
          <w:trHeight w:val="716"/>
        </w:trPr>
        <w:tc>
          <w:tcPr>
            <w:tcW w:w="3602" w:type="dxa"/>
            <w:gridSpan w:val="2"/>
            <w:tcBorders>
              <w:tl2br w:val="nil"/>
              <w:tr2bl w:val="nil"/>
            </w:tcBorders>
            <w:vAlign w:val="center"/>
          </w:tcPr>
          <w:p>
            <w:pPr>
              <w:pStyle w:val="538"/>
              <w:spacing w:before="263"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功能分类科目</w:t>
            </w:r>
          </w:p>
        </w:tc>
        <w:tc>
          <w:tcPr>
            <w:tcW w:w="1843" w:type="dxa"/>
            <w:gridSpan w:val="2"/>
            <w:tcBorders>
              <w:tl2br w:val="nil"/>
              <w:tr2bl w:val="nil"/>
            </w:tcBorders>
            <w:vAlign w:val="center"/>
          </w:tcPr>
          <w:p>
            <w:pPr>
              <w:pStyle w:val="538"/>
              <w:spacing w:before="263"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4"/>
                <w:sz w:val="22"/>
                <w:szCs w:val="22"/>
              </w:rPr>
              <w:t>202</w:t>
            </w:r>
            <w:r>
              <w:rPr>
                <w:rFonts w:ascii="Times New Roman" w:eastAsia="宋体" w:cs="Microsoft JhengHei" w:hAnsi="Times New Roman"/>
                <w:color w:val="auto"/>
                <w:spacing w:val="-4"/>
                <w:sz w:val="22"/>
                <w:szCs w:val="22"/>
              </w:rPr>
              <w:t>4</w:t>
            </w:r>
            <w:r>
              <w:rPr>
                <w:rFonts w:ascii="Times New Roman" w:eastAsia="宋体" w:cs="Microsoft JhengHei" w:hAnsi="Times New Roman" w:hint="eastAsia"/>
                <w:color w:val="auto"/>
                <w:spacing w:val="-4"/>
                <w:sz w:val="22"/>
                <w:szCs w:val="22"/>
              </w:rPr>
              <w:t>年执行数</w:t>
            </w:r>
          </w:p>
        </w:tc>
        <w:tc>
          <w:tcPr>
            <w:tcW w:w="4252" w:type="dxa"/>
            <w:gridSpan w:val="4"/>
            <w:tcBorders>
              <w:tl2br w:val="nil"/>
              <w:tr2bl w:val="nil"/>
            </w:tcBorders>
            <w:vAlign w:val="center"/>
          </w:tcPr>
          <w:p>
            <w:pPr>
              <w:pStyle w:val="538"/>
              <w:spacing w:before="263"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4"/>
                <w:sz w:val="22"/>
                <w:szCs w:val="22"/>
              </w:rPr>
              <w:t>202</w:t>
            </w:r>
            <w:r>
              <w:rPr>
                <w:rFonts w:ascii="Times New Roman" w:eastAsia="宋体" w:cs="Microsoft JhengHei" w:hAnsi="Times New Roman"/>
                <w:color w:val="auto"/>
                <w:spacing w:val="-4"/>
                <w:sz w:val="22"/>
                <w:szCs w:val="22"/>
              </w:rPr>
              <w:t>5</w:t>
            </w:r>
            <w:r>
              <w:rPr>
                <w:rFonts w:ascii="Times New Roman" w:eastAsia="宋体" w:cs="Microsoft JhengHei" w:hAnsi="Times New Roman" w:hint="eastAsia"/>
                <w:color w:val="auto"/>
                <w:spacing w:val="-4"/>
                <w:sz w:val="22"/>
                <w:szCs w:val="22"/>
              </w:rPr>
              <w:t>年预算数</w:t>
            </w:r>
          </w:p>
        </w:tc>
        <w:tc>
          <w:tcPr>
            <w:tcW w:w="1985" w:type="dxa"/>
            <w:gridSpan w:val="2"/>
            <w:tcBorders>
              <w:tl2br w:val="nil"/>
              <w:tr2bl w:val="nil"/>
            </w:tcBorders>
            <w:vAlign w:val="center"/>
          </w:tcPr>
          <w:p>
            <w:pPr>
              <w:pStyle w:val="527"/>
              <w:widowControl/>
              <w:jc w:val="center"/>
              <w:textAlignment w:val="center"/>
              <w:rPr>
                <w:sz w:val="22"/>
                <w:szCs w:val="22"/>
              </w:rPr>
            </w:pPr>
            <w:r>
              <w:rPr>
                <w:kern w:val="0"/>
                <w:sz w:val="22"/>
                <w:szCs w:val="22"/>
              </w:rPr>
              <w:t>2025年预算数比</w:t>
              <w:br/>
              <w:t>2024年执行数</w:t>
            </w:r>
          </w:p>
        </w:tc>
        <w:tc>
          <w:tcPr>
            <w:tcW w:w="2268" w:type="dxa"/>
            <w:gridSpan w:val="2"/>
            <w:tcBorders>
              <w:tl2br w:val="nil"/>
              <w:tr2bl w:val="nil"/>
            </w:tcBorders>
            <w:vAlign w:val="center"/>
          </w:tcPr>
          <w:p>
            <w:pPr>
              <w:pStyle w:val="538"/>
              <w:spacing w:before="30" w:line="180" w:lineRule="auto"/>
              <w:ind w:firstLine="135"/>
              <w:jc w:val="center"/>
              <w:rPr>
                <w:rFonts w:ascii="Times New Roman" w:eastAsia="宋体" w:cs="Microsoft JhengHei" w:hAnsi="Times New Roman"/>
                <w:color w:val="auto"/>
                <w:spacing w:val="-4"/>
                <w:sz w:val="22"/>
                <w:szCs w:val="22"/>
              </w:rPr>
            </w:pPr>
            <w:r>
              <w:rPr>
                <w:rFonts w:ascii="Times New Roman" w:eastAsia="宋体" w:cs="Microsoft JhengHei" w:hAnsi="Times New Roman" w:hint="eastAsia"/>
                <w:color w:val="auto"/>
                <w:spacing w:val="-4"/>
                <w:sz w:val="22"/>
                <w:szCs w:val="22"/>
              </w:rPr>
              <w:t>202</w:t>
            </w:r>
            <w:r>
              <w:rPr>
                <w:rFonts w:ascii="Times New Roman" w:eastAsia="宋体" w:cs="Microsoft JhengHei" w:hAnsi="Times New Roman"/>
                <w:color w:val="auto"/>
                <w:spacing w:val="-4"/>
                <w:sz w:val="22"/>
                <w:szCs w:val="22"/>
              </w:rPr>
              <w:t>5</w:t>
            </w:r>
            <w:r>
              <w:rPr>
                <w:rFonts w:ascii="Times New Roman" w:eastAsia="宋体" w:cs="Microsoft JhengHei" w:hAnsi="Times New Roman" w:hint="eastAsia"/>
                <w:color w:val="auto"/>
                <w:spacing w:val="-4"/>
                <w:sz w:val="22"/>
                <w:szCs w:val="22"/>
              </w:rPr>
              <w:t>年预算数比</w:t>
            </w:r>
          </w:p>
          <w:p>
            <w:pPr>
              <w:pStyle w:val="538"/>
              <w:spacing w:before="30" w:line="180" w:lineRule="auto"/>
              <w:ind w:firstLine="135"/>
              <w:jc w:val="center"/>
              <w:rPr>
                <w:rFonts w:ascii="Times New Roman" w:eastAsia="宋体" w:cs="Microsoft JhengHei" w:hAnsi="Times New Roman"/>
                <w:color w:val="auto"/>
                <w:spacing w:val="-4"/>
                <w:sz w:val="22"/>
                <w:szCs w:val="22"/>
              </w:rPr>
            </w:pPr>
            <w:r>
              <w:rPr>
                <w:rFonts w:ascii="Times New Roman" w:eastAsia="宋体" w:cs="Microsoft JhengHei" w:hAnsi="Times New Roman" w:hint="eastAsia"/>
                <w:color w:val="auto"/>
                <w:spacing w:val="-4"/>
                <w:sz w:val="22"/>
                <w:szCs w:val="22"/>
              </w:rPr>
              <w:t>202</w:t>
            </w:r>
            <w:r>
              <w:rPr>
                <w:rFonts w:ascii="Times New Roman" w:eastAsia="宋体" w:cs="Microsoft JhengHei" w:hAnsi="Times New Roman"/>
                <w:color w:val="auto"/>
                <w:spacing w:val="-4"/>
                <w:sz w:val="22"/>
                <w:szCs w:val="22"/>
              </w:rPr>
              <w:t>4</w:t>
            </w:r>
            <w:r>
              <w:rPr>
                <w:rFonts w:ascii="Times New Roman" w:eastAsia="宋体" w:cs="Microsoft JhengHei" w:hAnsi="Times New Roman" w:hint="eastAsia"/>
                <w:color w:val="auto"/>
                <w:spacing w:val="-4"/>
                <w:sz w:val="22"/>
                <w:szCs w:val="22"/>
              </w:rPr>
              <w:t>年执行数</w:t>
            </w:r>
          </w:p>
          <w:p>
            <w:pPr>
              <w:pStyle w:val="538"/>
              <w:spacing w:before="30" w:line="180" w:lineRule="auto"/>
              <w:ind w:firstLine="135"/>
              <w:jc w:val="center"/>
              <w:rPr>
                <w:rFonts w:ascii="Times New Roman" w:eastAsia="宋体" w:cs="Microsoft JhengHei" w:hAnsi="Times New Roman"/>
                <w:color w:val="auto"/>
                <w:spacing w:val="-4"/>
                <w:sz w:val="22"/>
                <w:szCs w:val="22"/>
              </w:rPr>
            </w:pPr>
            <w:r>
              <w:rPr>
                <w:rFonts w:ascii="Times New Roman" w:eastAsia="宋体" w:cs="Microsoft JhengHei" w:hAnsi="Times New Roman" w:hint="eastAsia"/>
                <w:color w:val="auto"/>
                <w:spacing w:val="-4"/>
                <w:sz w:val="22"/>
                <w:szCs w:val="22"/>
              </w:rPr>
              <w:t>（扣除中央基建投资）</w:t>
            </w:r>
          </w:p>
        </w:tc>
      </w:tr>
      <w:tr>
        <w:trPr>
          <w:trHeight w:val="452"/>
        </w:trPr>
        <w:tc>
          <w:tcPr>
            <w:tcW w:w="1051" w:type="dxa"/>
            <w:vMerge w:val="restart"/>
            <w:tcBorders>
              <w:bottom w:val="nil"/>
              <w:tl2br w:val="nil"/>
              <w:tr2bl w:val="nil"/>
            </w:tcBorders>
            <w:vAlign w:val="center"/>
          </w:tcPr>
          <w:p>
            <w:pPr>
              <w:pStyle w:val="768"/>
              <w:spacing w:before="197"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科目编码</w:t>
            </w:r>
          </w:p>
        </w:tc>
        <w:tc>
          <w:tcPr>
            <w:tcW w:w="2551" w:type="dxa"/>
            <w:vMerge w:val="restart"/>
            <w:tcBorders>
              <w:bottom w:val="nil"/>
              <w:tl2br w:val="nil"/>
              <w:tr2bl w:val="nil"/>
            </w:tcBorders>
            <w:vAlign w:val="center"/>
          </w:tcPr>
          <w:p>
            <w:pPr>
              <w:pStyle w:val="769"/>
              <w:spacing w:before="197"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科目名称</w:t>
            </w:r>
          </w:p>
        </w:tc>
        <w:tc>
          <w:tcPr>
            <w:tcW w:w="851" w:type="dxa"/>
            <w:vMerge w:val="restart"/>
            <w:tcBorders>
              <w:bottom w:val="nil"/>
              <w:tl2br w:val="nil"/>
              <w:tr2bl w:val="nil"/>
            </w:tcBorders>
            <w:vAlign w:val="center"/>
          </w:tcPr>
          <w:p>
            <w:pPr>
              <w:pStyle w:val="770"/>
              <w:spacing w:before="197" w:line="180" w:lineRule="auto"/>
              <w:jc w:val="center"/>
              <w:rPr>
                <w:rFonts w:ascii="Times New Roman" w:eastAsia="宋体" w:cs="Microsoft JhengHei" w:hAnsi="Times New Roman"/>
                <w:color w:val="FF0000"/>
                <w:sz w:val="22"/>
                <w:szCs w:val="22"/>
              </w:rPr>
            </w:pPr>
            <w:r>
              <w:rPr>
                <w:rFonts w:ascii="Times New Roman" w:eastAsia="宋体" w:cs="Microsoft JhengHei" w:hAnsi="Times New Roman" w:hint="eastAsia"/>
                <w:color w:val="auto"/>
                <w:spacing w:val="-2"/>
                <w:sz w:val="22"/>
                <w:szCs w:val="22"/>
              </w:rPr>
              <w:t>执行数</w:t>
            </w:r>
          </w:p>
        </w:tc>
        <w:tc>
          <w:tcPr>
            <w:tcW w:w="992" w:type="dxa"/>
            <w:vMerge w:val="restart"/>
            <w:tcBorders>
              <w:bottom w:val="nil"/>
              <w:tl2br w:val="nil"/>
              <w:tr2bl w:val="nil"/>
            </w:tcBorders>
            <w:vAlign w:val="center"/>
          </w:tcPr>
          <w:p>
            <w:pPr>
              <w:pStyle w:val="771"/>
              <w:spacing w:before="79" w:line="202" w:lineRule="auto"/>
              <w:ind w:left="113" w:right="105" w:firstLine="3"/>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2"/>
                <w:sz w:val="22"/>
                <w:szCs w:val="22"/>
              </w:rPr>
              <w:t>扣除中央基建投资后执行数</w:t>
            </w:r>
          </w:p>
        </w:tc>
        <w:tc>
          <w:tcPr>
            <w:tcW w:w="2977" w:type="dxa"/>
            <w:gridSpan w:val="3"/>
            <w:tcBorders>
              <w:tl2br w:val="nil"/>
              <w:tr2bl w:val="nil"/>
            </w:tcBorders>
            <w:vAlign w:val="center"/>
          </w:tcPr>
          <w:p>
            <w:pPr>
              <w:pStyle w:val="772"/>
              <w:spacing w:before="45"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2"/>
                <w:sz w:val="22"/>
                <w:szCs w:val="22"/>
              </w:rPr>
              <w:t>年初预算数</w:t>
            </w:r>
          </w:p>
        </w:tc>
        <w:tc>
          <w:tcPr>
            <w:tcW w:w="1275" w:type="dxa"/>
            <w:vMerge w:val="restart"/>
            <w:tcBorders>
              <w:bottom w:val="nil"/>
              <w:tl2br w:val="nil"/>
              <w:tr2bl w:val="nil"/>
            </w:tcBorders>
            <w:vAlign w:val="center"/>
          </w:tcPr>
          <w:p>
            <w:pPr>
              <w:pStyle w:val="773"/>
              <w:spacing w:before="79" w:line="202" w:lineRule="auto"/>
              <w:ind w:left="152" w:right="140" w:firstLine="3"/>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2"/>
                <w:sz w:val="22"/>
                <w:szCs w:val="22"/>
              </w:rPr>
              <w:t>扣除中央基建投资后预算数</w:t>
            </w:r>
          </w:p>
        </w:tc>
        <w:tc>
          <w:tcPr>
            <w:tcW w:w="993" w:type="dxa"/>
            <w:vMerge w:val="restart"/>
            <w:tcBorders>
              <w:bottom w:val="nil"/>
              <w:tl2br w:val="nil"/>
              <w:tr2bl w:val="nil"/>
            </w:tcBorders>
            <w:vAlign w:val="center"/>
          </w:tcPr>
          <w:p>
            <w:pPr>
              <w:pStyle w:val="774"/>
              <w:widowControl/>
              <w:jc w:val="center"/>
              <w:textAlignment w:val="center"/>
              <w:rPr>
                <w:sz w:val="22"/>
                <w:szCs w:val="22"/>
              </w:rPr>
            </w:pPr>
            <w:r>
              <w:rPr>
                <w:kern w:val="0"/>
                <w:sz w:val="22"/>
                <w:szCs w:val="22"/>
              </w:rPr>
              <w:t>增减额</w:t>
            </w:r>
          </w:p>
        </w:tc>
        <w:tc>
          <w:tcPr>
            <w:tcW w:w="992" w:type="dxa"/>
            <w:vMerge w:val="restart"/>
            <w:tcBorders>
              <w:tl2br w:val="nil"/>
              <w:tr2bl w:val="nil"/>
            </w:tcBorders>
            <w:vAlign w:val="center"/>
          </w:tcPr>
          <w:p>
            <w:pPr>
              <w:pStyle w:val="775"/>
              <w:widowControl/>
              <w:jc w:val="center"/>
              <w:textAlignment w:val="center"/>
              <w:rPr>
                <w:sz w:val="22"/>
                <w:szCs w:val="22"/>
              </w:rPr>
            </w:pPr>
            <w:r>
              <w:rPr>
                <w:kern w:val="0"/>
                <w:sz w:val="22"/>
                <w:szCs w:val="22"/>
              </w:rPr>
              <w:t>增减(%)</w:t>
            </w:r>
          </w:p>
        </w:tc>
        <w:tc>
          <w:tcPr>
            <w:tcW w:w="1134" w:type="dxa"/>
            <w:vMerge w:val="restart"/>
            <w:tcBorders>
              <w:tl2br w:val="nil"/>
              <w:tr2bl w:val="nil"/>
            </w:tcBorders>
            <w:vAlign w:val="center"/>
          </w:tcPr>
          <w:p>
            <w:pPr>
              <w:pStyle w:val="776"/>
              <w:spacing w:before="197"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增减额</w:t>
            </w:r>
          </w:p>
        </w:tc>
        <w:tc>
          <w:tcPr>
            <w:tcW w:w="1134" w:type="dxa"/>
            <w:vMerge w:val="restart"/>
            <w:tcBorders>
              <w:tl2br w:val="nil"/>
              <w:tr2bl w:val="nil"/>
            </w:tcBorders>
            <w:vAlign w:val="center"/>
          </w:tcPr>
          <w:p>
            <w:pPr>
              <w:pStyle w:val="777"/>
              <w:spacing w:before="197"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z w:val="22"/>
                <w:szCs w:val="22"/>
              </w:rPr>
              <w:t>增减(%)</w:t>
            </w:r>
          </w:p>
        </w:tc>
      </w:tr>
      <w:tr>
        <w:trPr>
          <w:trHeight w:val="532"/>
        </w:trPr>
        <w:tc>
          <w:tcPr>
            <w:tcW w:w="1051" w:type="dxa"/>
            <w:vMerge/>
            <w:tcBorders>
              <w:top w:val="nil"/>
              <w:tl2br w:val="nil"/>
              <w:tr2bl w:val="nil"/>
            </w:tcBorders>
          </w:tcPr>
          <w:p/>
        </w:tc>
        <w:tc>
          <w:tcPr>
            <w:tcW w:w="2551" w:type="dxa"/>
            <w:vMerge/>
            <w:tcBorders>
              <w:top w:val="nil"/>
              <w:tl2br w:val="nil"/>
              <w:tr2bl w:val="nil"/>
            </w:tcBorders>
          </w:tcPr>
          <w:p/>
        </w:tc>
        <w:tc>
          <w:tcPr>
            <w:tcW w:w="851" w:type="dxa"/>
            <w:vMerge/>
            <w:tcBorders>
              <w:top w:val="nil"/>
              <w:tl2br w:val="nil"/>
              <w:tr2bl w:val="nil"/>
            </w:tcBorders>
          </w:tcPr>
          <w:p/>
        </w:tc>
        <w:tc>
          <w:tcPr>
            <w:tcW w:w="992" w:type="dxa"/>
            <w:vMerge/>
            <w:tcBorders>
              <w:top w:val="nil"/>
              <w:tl2br w:val="nil"/>
              <w:tr2bl w:val="nil"/>
            </w:tcBorders>
          </w:tcPr>
          <w:p/>
        </w:tc>
        <w:tc>
          <w:tcPr>
            <w:tcW w:w="992" w:type="dxa"/>
            <w:tcBorders>
              <w:tl2br w:val="nil"/>
              <w:tr2bl w:val="nil"/>
            </w:tcBorders>
            <w:vAlign w:val="center"/>
          </w:tcPr>
          <w:p>
            <w:pPr>
              <w:pStyle w:val="778"/>
              <w:spacing w:before="45"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小计</w:t>
            </w:r>
          </w:p>
        </w:tc>
        <w:tc>
          <w:tcPr>
            <w:tcW w:w="992" w:type="dxa"/>
            <w:tcBorders>
              <w:tl2br w:val="nil"/>
              <w:tr2bl w:val="nil"/>
            </w:tcBorders>
            <w:vAlign w:val="center"/>
          </w:tcPr>
          <w:p>
            <w:pPr>
              <w:pStyle w:val="779"/>
              <w:spacing w:before="45"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基本支出</w:t>
            </w:r>
          </w:p>
        </w:tc>
        <w:tc>
          <w:tcPr>
            <w:tcW w:w="993" w:type="dxa"/>
            <w:tcBorders>
              <w:tl2br w:val="nil"/>
              <w:tr2bl w:val="nil"/>
            </w:tcBorders>
            <w:vAlign w:val="center"/>
          </w:tcPr>
          <w:p>
            <w:pPr>
              <w:pStyle w:val="780"/>
              <w:spacing w:before="45" w:line="180" w:lineRule="auto"/>
              <w:jc w:val="center"/>
              <w:rPr>
                <w:rFonts w:ascii="Times New Roman" w:eastAsia="宋体" w:cs="Microsoft JhengHei" w:hAnsi="Times New Roman"/>
                <w:color w:val="auto"/>
                <w:sz w:val="22"/>
                <w:szCs w:val="22"/>
              </w:rPr>
            </w:pPr>
            <w:r>
              <w:rPr>
                <w:rFonts w:ascii="Times New Roman" w:eastAsia="宋体" w:cs="Microsoft JhengHei" w:hAnsi="Times New Roman" w:hint="eastAsia"/>
                <w:color w:val="auto"/>
                <w:spacing w:val="-1"/>
                <w:sz w:val="22"/>
                <w:szCs w:val="22"/>
              </w:rPr>
              <w:t>项目支出</w:t>
            </w:r>
          </w:p>
        </w:tc>
        <w:tc>
          <w:tcPr>
            <w:tcW w:w="1275" w:type="dxa"/>
            <w:vMerge/>
            <w:tcBorders>
              <w:top w:val="nil"/>
              <w:tl2br w:val="nil"/>
              <w:tr2bl w:val="nil"/>
            </w:tcBorders>
          </w:tcPr>
          <w:p/>
        </w:tc>
        <w:tc>
          <w:tcPr>
            <w:tcW w:w="993" w:type="dxa"/>
            <w:vMerge/>
            <w:tcBorders>
              <w:top w:val="nil"/>
              <w:tl2br w:val="nil"/>
              <w:tr2bl w:val="nil"/>
            </w:tcBorders>
          </w:tcPr>
          <w:p/>
        </w:tc>
        <w:tc>
          <w:tcPr>
            <w:tcW w:w="992" w:type="dxa"/>
            <w:vMerge/>
            <w:tcBorders>
              <w:tl2br w:val="nil"/>
              <w:tr2bl w:val="nil"/>
            </w:tcBorders>
          </w:tcPr>
          <w:p/>
        </w:tc>
        <w:tc>
          <w:tcPr>
            <w:tcW w:w="1134" w:type="dxa"/>
            <w:vMerge/>
            <w:tcBorders>
              <w:tl2br w:val="nil"/>
              <w:tr2bl w:val="nil"/>
            </w:tcBorders>
          </w:tcPr>
          <w:p/>
        </w:tc>
        <w:tc>
          <w:tcPr>
            <w:tcW w:w="1134" w:type="dxa"/>
            <w:vMerge/>
            <w:tcBorders>
              <w:tl2br w:val="nil"/>
              <w:tr2bl w:val="nil"/>
            </w:tcBorders>
            <w:vAlign w:val="center"/>
          </w:tcPr>
          <w:p/>
        </w:tc>
      </w:tr>
      <w:tr>
        <w:trPr>
          <w:trHeight w:val="513"/>
        </w:trPr>
        <w:tc>
          <w:tcPr>
            <w:tcW w:w="1051" w:type="dxa"/>
            <w:tcBorders>
              <w:tl2br w:val="nil"/>
              <w:tr2bl w:val="nil"/>
            </w:tcBorders>
            <w:shd w:val="clear" w:color="auto" w:fill="auto"/>
            <w:vAlign w:val="center"/>
          </w:tcPr>
          <w:p>
            <w:pPr>
              <w:pStyle w:val="781"/>
              <w:ind w:leftChars="100" w:left="210"/>
              <w:rPr>
                <w:rFonts w:ascii="Times New Roman" w:eastAsia="宋体" w:cs="Times New Roman" w:hAnsi="Times New Roman"/>
                <w:b/>
                <w:bCs/>
                <w:color w:val="auto"/>
                <w:sz w:val="22"/>
                <w:szCs w:val="22"/>
              </w:rPr>
            </w:pPr>
            <w:r>
              <w:rPr>
                <w:rFonts w:ascii="Times New Roman" w:eastAsia="宋体" w:cs="Times New Roman" w:hAnsi="Times New Roman"/>
                <w:b/>
                <w:bCs/>
                <w:color w:val="auto"/>
                <w:sz w:val="22"/>
                <w:szCs w:val="22"/>
              </w:rPr>
              <w:t>201</w:t>
            </w:r>
          </w:p>
        </w:tc>
        <w:tc>
          <w:tcPr>
            <w:tcW w:w="2551" w:type="dxa"/>
            <w:tcBorders>
              <w:tl2br w:val="nil"/>
              <w:tr2bl w:val="nil"/>
            </w:tcBorders>
            <w:shd w:val="clear" w:color="auto" w:fill="auto"/>
            <w:vAlign w:val="center"/>
          </w:tcPr>
          <w:p>
            <w:pPr>
              <w:pStyle w:val="782"/>
              <w:ind w:leftChars="100" w:left="210"/>
              <w:rPr>
                <w:rFonts w:ascii="Times New Roman" w:eastAsia="宋体" w:cs="Times New Roman" w:hAnsi="Times New Roman"/>
                <w:b/>
                <w:bCs/>
                <w:color w:val="auto"/>
                <w:sz w:val="22"/>
                <w:szCs w:val="22"/>
              </w:rPr>
            </w:pPr>
            <w:r>
              <w:rPr>
                <w:rFonts w:ascii="Times New Roman" w:eastAsia="宋体" w:cs="Times New Roman" w:hAnsi="Times New Roman"/>
                <w:b/>
                <w:bCs/>
                <w:color w:val="auto"/>
                <w:sz w:val="22"/>
                <w:szCs w:val="22"/>
              </w:rPr>
              <w:t>一般公共服务支出</w:t>
            </w:r>
          </w:p>
        </w:tc>
        <w:tc>
          <w:tcPr>
            <w:tcW w:w="851" w:type="dxa"/>
            <w:tcBorders>
              <w:tl2br w:val="nil"/>
              <w:tr2bl w:val="nil"/>
            </w:tcBorders>
            <w:shd w:val="clear" w:color="auto" w:fill="FFFFFF"/>
            <w:vAlign w:val="bottom"/>
          </w:tcPr>
          <w:p>
            <w:pPr>
              <w:jc w:val="right"/>
              <w:rPr>
                <w:b/>
                <w:bCs/>
                <w:szCs w:val="21"/>
              </w:rPr>
            </w:pPr>
            <w:r>
              <w:rPr>
                <w:b/>
                <w:bCs/>
                <w:szCs w:val="21"/>
              </w:rPr>
              <w:t xml:space="preserve">678.04 </w:t>
            </w:r>
          </w:p>
        </w:tc>
        <w:tc>
          <w:tcPr>
            <w:tcW w:w="992" w:type="dxa"/>
            <w:tcBorders>
              <w:tl2br w:val="nil"/>
              <w:tr2bl w:val="nil"/>
            </w:tcBorders>
            <w:shd w:val="clear" w:color="auto" w:fill="FFFFFF"/>
            <w:vAlign w:val="bottom"/>
          </w:tcPr>
          <w:p>
            <w:pPr>
              <w:jc w:val="right"/>
              <w:rPr>
                <w:b/>
                <w:bCs/>
                <w:szCs w:val="21"/>
              </w:rPr>
            </w:pPr>
            <w:r>
              <w:rPr>
                <w:b/>
                <w:bCs/>
                <w:szCs w:val="21"/>
              </w:rPr>
              <w:t xml:space="preserve">548.04 </w:t>
            </w:r>
          </w:p>
        </w:tc>
        <w:tc>
          <w:tcPr>
            <w:tcW w:w="992" w:type="dxa"/>
            <w:tcBorders>
              <w:tl2br w:val="nil"/>
              <w:tr2bl w:val="nil"/>
            </w:tcBorders>
            <w:shd w:val="clear" w:color="auto" w:fill="FFFFFF"/>
            <w:vAlign w:val="bottom"/>
          </w:tcPr>
          <w:p>
            <w:pPr>
              <w:jc w:val="right"/>
              <w:rPr>
                <w:b/>
                <w:bCs/>
                <w:szCs w:val="21"/>
              </w:rPr>
            </w:pPr>
            <w:r>
              <w:rPr>
                <w:b/>
                <w:bCs/>
                <w:szCs w:val="21"/>
              </w:rPr>
              <w:t xml:space="preserve">425.96 </w:t>
            </w:r>
          </w:p>
        </w:tc>
        <w:tc>
          <w:tcPr>
            <w:tcW w:w="992" w:type="dxa"/>
            <w:tcBorders>
              <w:tl2br w:val="nil"/>
              <w:tr2bl w:val="nil"/>
            </w:tcBorders>
            <w:shd w:val="clear" w:color="auto" w:fill="FFFFFF"/>
            <w:vAlign w:val="bottom"/>
          </w:tcPr>
          <w:p>
            <w:pPr>
              <w:jc w:val="right"/>
              <w:rPr>
                <w:b/>
                <w:bCs/>
                <w:szCs w:val="21"/>
              </w:rPr>
            </w:pPr>
            <w:r>
              <w:rPr>
                <w:b/>
                <w:bCs/>
                <w:szCs w:val="21"/>
              </w:rPr>
              <w:t xml:space="preserve">259.91 </w:t>
            </w:r>
          </w:p>
        </w:tc>
        <w:tc>
          <w:tcPr>
            <w:tcW w:w="993" w:type="dxa"/>
            <w:tcBorders>
              <w:tl2br w:val="nil"/>
              <w:tr2bl w:val="nil"/>
            </w:tcBorders>
            <w:shd w:val="clear" w:color="auto" w:fill="FFFFFF"/>
            <w:vAlign w:val="bottom"/>
          </w:tcPr>
          <w:p>
            <w:pPr>
              <w:jc w:val="right"/>
              <w:rPr>
                <w:b/>
                <w:bCs/>
                <w:szCs w:val="21"/>
              </w:rPr>
            </w:pPr>
            <w:r>
              <w:rPr>
                <w:b/>
                <w:bCs/>
                <w:szCs w:val="21"/>
              </w:rPr>
              <w:t xml:space="preserve">166.05 </w:t>
            </w:r>
          </w:p>
        </w:tc>
        <w:tc>
          <w:tcPr>
            <w:tcW w:w="1275" w:type="dxa"/>
            <w:tcBorders>
              <w:tl2br w:val="nil"/>
              <w:tr2bl w:val="nil"/>
            </w:tcBorders>
            <w:shd w:val="clear" w:color="auto" w:fill="FFFFFF"/>
            <w:vAlign w:val="bottom"/>
          </w:tcPr>
          <w:p>
            <w:pPr>
              <w:jc w:val="right"/>
              <w:rPr>
                <w:b/>
                <w:bCs/>
                <w:szCs w:val="21"/>
              </w:rPr>
            </w:pPr>
            <w:r>
              <w:rPr>
                <w:b/>
                <w:bCs/>
                <w:szCs w:val="21"/>
              </w:rPr>
              <w:t xml:space="preserve">425.96 </w:t>
            </w:r>
          </w:p>
        </w:tc>
        <w:tc>
          <w:tcPr>
            <w:tcW w:w="993" w:type="dxa"/>
            <w:tcBorders>
              <w:tl2br w:val="nil"/>
              <w:tr2bl w:val="nil"/>
            </w:tcBorders>
            <w:vAlign w:val="bottom"/>
          </w:tcPr>
          <w:p>
            <w:pPr>
              <w:jc w:val="right"/>
              <w:rPr>
                <w:b/>
                <w:bCs/>
                <w:szCs w:val="21"/>
              </w:rPr>
            </w:pPr>
            <w:r>
              <w:rPr>
                <w:b/>
                <w:bCs/>
                <w:szCs w:val="21"/>
              </w:rPr>
              <w:t xml:space="preserve">-252.08 </w:t>
            </w:r>
          </w:p>
        </w:tc>
        <w:tc>
          <w:tcPr>
            <w:tcW w:w="992" w:type="dxa"/>
            <w:tcBorders>
              <w:tl2br w:val="nil"/>
              <w:tr2bl w:val="nil"/>
            </w:tcBorders>
            <w:vAlign w:val="bottom"/>
          </w:tcPr>
          <w:p>
            <w:pPr>
              <w:jc w:val="right"/>
              <w:rPr>
                <w:b/>
                <w:bCs/>
                <w:szCs w:val="21"/>
              </w:rPr>
            </w:pPr>
            <w:r>
              <w:rPr>
                <w:b/>
                <w:bCs/>
                <w:szCs w:val="21"/>
              </w:rPr>
              <w:t>-37.18%</w:t>
            </w:r>
          </w:p>
        </w:tc>
        <w:tc>
          <w:tcPr>
            <w:tcW w:w="1134" w:type="dxa"/>
            <w:tcBorders>
              <w:tl2br w:val="nil"/>
              <w:tr2bl w:val="nil"/>
            </w:tcBorders>
            <w:vAlign w:val="bottom"/>
          </w:tcPr>
          <w:p>
            <w:pPr>
              <w:jc w:val="right"/>
              <w:rPr>
                <w:b/>
                <w:bCs/>
                <w:szCs w:val="21"/>
              </w:rPr>
            </w:pPr>
            <w:r>
              <w:rPr>
                <w:b/>
                <w:bCs/>
                <w:szCs w:val="21"/>
              </w:rPr>
              <w:t xml:space="preserve">-122.08 </w:t>
            </w:r>
          </w:p>
        </w:tc>
        <w:tc>
          <w:tcPr>
            <w:tcW w:w="1134" w:type="dxa"/>
            <w:tcBorders>
              <w:tl2br w:val="nil"/>
              <w:tr2bl w:val="nil"/>
            </w:tcBorders>
            <w:vAlign w:val="bottom"/>
          </w:tcPr>
          <w:p>
            <w:pPr>
              <w:jc w:val="right"/>
              <w:rPr>
                <w:b/>
                <w:bCs/>
                <w:szCs w:val="21"/>
              </w:rPr>
            </w:pPr>
            <w:r>
              <w:rPr>
                <w:b/>
                <w:bCs/>
                <w:szCs w:val="21"/>
              </w:rPr>
              <w:t>-22.28%</w:t>
            </w:r>
          </w:p>
        </w:tc>
      </w:tr>
      <w:tr>
        <w:trPr>
          <w:trHeight w:val="502"/>
        </w:trPr>
        <w:tc>
          <w:tcPr>
            <w:tcW w:w="1051" w:type="dxa"/>
            <w:tcBorders>
              <w:tl2br w:val="nil"/>
              <w:tr2bl w:val="nil"/>
            </w:tcBorders>
            <w:shd w:val="clear" w:color="auto" w:fill="auto"/>
            <w:vAlign w:val="center"/>
          </w:tcPr>
          <w:p>
            <w:pPr>
              <w:pStyle w:val="793"/>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20109</w:t>
            </w:r>
          </w:p>
        </w:tc>
        <w:tc>
          <w:tcPr>
            <w:tcW w:w="2551" w:type="dxa"/>
            <w:tcBorders>
              <w:tl2br w:val="nil"/>
              <w:tr2bl w:val="nil"/>
            </w:tcBorders>
            <w:shd w:val="clear" w:color="auto" w:fill="auto"/>
            <w:vAlign w:val="center"/>
          </w:tcPr>
          <w:p>
            <w:pPr>
              <w:pStyle w:val="794"/>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海关事务</w:t>
            </w:r>
          </w:p>
        </w:tc>
        <w:tc>
          <w:tcPr>
            <w:tcW w:w="851" w:type="dxa"/>
            <w:tcBorders>
              <w:tl2br w:val="nil"/>
              <w:tr2bl w:val="nil"/>
            </w:tcBorders>
            <w:shd w:val="clear" w:color="auto" w:fill="FFFFFF"/>
            <w:vAlign w:val="bottom"/>
          </w:tcPr>
          <w:p>
            <w:pPr>
              <w:jc w:val="right"/>
              <w:rPr>
                <w:szCs w:val="21"/>
              </w:rPr>
            </w:pPr>
            <w:r>
              <w:rPr>
                <w:szCs w:val="21"/>
              </w:rPr>
              <w:t xml:space="preserve">678.04 </w:t>
            </w:r>
          </w:p>
        </w:tc>
        <w:tc>
          <w:tcPr>
            <w:tcW w:w="992" w:type="dxa"/>
            <w:tcBorders>
              <w:tl2br w:val="nil"/>
              <w:tr2bl w:val="nil"/>
            </w:tcBorders>
            <w:shd w:val="clear" w:color="auto" w:fill="FFFFFF"/>
            <w:vAlign w:val="bottom"/>
          </w:tcPr>
          <w:p>
            <w:pPr>
              <w:jc w:val="right"/>
              <w:rPr>
                <w:szCs w:val="21"/>
              </w:rPr>
            </w:pPr>
            <w:r>
              <w:rPr>
                <w:szCs w:val="21"/>
              </w:rPr>
              <w:t xml:space="preserve">548.04 </w:t>
            </w:r>
          </w:p>
        </w:tc>
        <w:tc>
          <w:tcPr>
            <w:tcW w:w="992" w:type="dxa"/>
            <w:tcBorders>
              <w:tl2br w:val="nil"/>
              <w:tr2bl w:val="nil"/>
            </w:tcBorders>
            <w:shd w:val="clear" w:color="auto" w:fill="FFFFFF"/>
            <w:vAlign w:val="bottom"/>
          </w:tcPr>
          <w:p>
            <w:pPr>
              <w:jc w:val="right"/>
              <w:rPr>
                <w:szCs w:val="21"/>
              </w:rPr>
            </w:pPr>
            <w:r>
              <w:rPr>
                <w:szCs w:val="21"/>
              </w:rPr>
              <w:t xml:space="preserve">425.96 </w:t>
            </w:r>
          </w:p>
        </w:tc>
        <w:tc>
          <w:tcPr>
            <w:tcW w:w="992" w:type="dxa"/>
            <w:tcBorders>
              <w:tl2br w:val="nil"/>
              <w:tr2bl w:val="nil"/>
            </w:tcBorders>
            <w:shd w:val="clear" w:color="auto" w:fill="FFFFFF"/>
            <w:vAlign w:val="bottom"/>
          </w:tcPr>
          <w:p>
            <w:pPr>
              <w:jc w:val="right"/>
              <w:rPr>
                <w:szCs w:val="21"/>
              </w:rPr>
            </w:pPr>
            <w:r>
              <w:rPr>
                <w:szCs w:val="21"/>
              </w:rPr>
              <w:t xml:space="preserve">259.91 </w:t>
            </w:r>
          </w:p>
        </w:tc>
        <w:tc>
          <w:tcPr>
            <w:tcW w:w="993" w:type="dxa"/>
            <w:tcBorders>
              <w:tl2br w:val="nil"/>
              <w:tr2bl w:val="nil"/>
            </w:tcBorders>
            <w:shd w:val="clear" w:color="auto" w:fill="FFFFFF"/>
            <w:vAlign w:val="bottom"/>
          </w:tcPr>
          <w:p>
            <w:pPr>
              <w:jc w:val="right"/>
              <w:rPr>
                <w:szCs w:val="21"/>
              </w:rPr>
            </w:pPr>
            <w:r>
              <w:rPr>
                <w:szCs w:val="21"/>
              </w:rPr>
              <w:t xml:space="preserve">166.05 </w:t>
            </w:r>
          </w:p>
        </w:tc>
        <w:tc>
          <w:tcPr>
            <w:tcW w:w="1275" w:type="dxa"/>
            <w:tcBorders>
              <w:tl2br w:val="nil"/>
              <w:tr2bl w:val="nil"/>
            </w:tcBorders>
            <w:shd w:val="clear" w:color="auto" w:fill="FFFFFF"/>
            <w:vAlign w:val="bottom"/>
          </w:tcPr>
          <w:p>
            <w:pPr>
              <w:jc w:val="right"/>
              <w:rPr>
                <w:szCs w:val="21"/>
              </w:rPr>
            </w:pPr>
            <w:r>
              <w:rPr>
                <w:szCs w:val="21"/>
              </w:rPr>
              <w:t xml:space="preserve">425.96 </w:t>
            </w:r>
          </w:p>
        </w:tc>
        <w:tc>
          <w:tcPr>
            <w:tcW w:w="993" w:type="dxa"/>
            <w:tcBorders>
              <w:tl2br w:val="nil"/>
              <w:tr2bl w:val="nil"/>
            </w:tcBorders>
            <w:vAlign w:val="bottom"/>
          </w:tcPr>
          <w:p>
            <w:pPr>
              <w:jc w:val="right"/>
              <w:rPr>
                <w:szCs w:val="21"/>
              </w:rPr>
            </w:pPr>
            <w:r>
              <w:rPr>
                <w:szCs w:val="21"/>
              </w:rPr>
              <w:t xml:space="preserve">-252.08 </w:t>
            </w:r>
          </w:p>
        </w:tc>
        <w:tc>
          <w:tcPr>
            <w:tcW w:w="992" w:type="dxa"/>
            <w:tcBorders>
              <w:tl2br w:val="nil"/>
              <w:tr2bl w:val="nil"/>
            </w:tcBorders>
            <w:vAlign w:val="bottom"/>
          </w:tcPr>
          <w:p>
            <w:pPr>
              <w:jc w:val="right"/>
              <w:rPr>
                <w:szCs w:val="21"/>
              </w:rPr>
            </w:pPr>
            <w:r>
              <w:rPr>
                <w:szCs w:val="21"/>
              </w:rPr>
              <w:t>-37.18%</w:t>
            </w:r>
          </w:p>
        </w:tc>
        <w:tc>
          <w:tcPr>
            <w:tcW w:w="1134" w:type="dxa"/>
            <w:tcBorders>
              <w:tl2br w:val="nil"/>
              <w:tr2bl w:val="nil"/>
            </w:tcBorders>
            <w:vAlign w:val="bottom"/>
          </w:tcPr>
          <w:p>
            <w:pPr>
              <w:jc w:val="right"/>
              <w:rPr>
                <w:szCs w:val="21"/>
              </w:rPr>
            </w:pPr>
            <w:r>
              <w:rPr>
                <w:szCs w:val="21"/>
              </w:rPr>
              <w:t xml:space="preserve">-122.08 </w:t>
            </w:r>
          </w:p>
        </w:tc>
        <w:tc>
          <w:tcPr>
            <w:tcW w:w="1134" w:type="dxa"/>
            <w:tcBorders>
              <w:tl2br w:val="nil"/>
              <w:tr2bl w:val="nil"/>
            </w:tcBorders>
            <w:vAlign w:val="bottom"/>
          </w:tcPr>
          <w:p>
            <w:pPr>
              <w:jc w:val="right"/>
              <w:rPr>
                <w:szCs w:val="21"/>
              </w:rPr>
            </w:pPr>
            <w:r>
              <w:rPr>
                <w:szCs w:val="21"/>
              </w:rPr>
              <w:t>-22.28%</w:t>
            </w:r>
          </w:p>
        </w:tc>
      </w:tr>
      <w:tr>
        <w:trPr>
          <w:trHeight w:val="491"/>
        </w:trPr>
        <w:tc>
          <w:tcPr>
            <w:tcW w:w="1051" w:type="dxa"/>
            <w:tcBorders>
              <w:tl2br w:val="nil"/>
              <w:tr2bl w:val="nil"/>
            </w:tcBorders>
            <w:shd w:val="clear" w:color="auto" w:fill="auto"/>
            <w:vAlign w:val="center"/>
          </w:tcPr>
          <w:p>
            <w:pPr>
              <w:ind w:firstLineChars="100" w:firstLine="200"/>
              <w:jc w:val="left"/>
              <w:rPr>
                <w:sz w:val="20"/>
                <w:szCs w:val="20"/>
              </w:rPr>
            </w:pPr>
            <w:r>
              <w:rPr>
                <w:rFonts w:hint="eastAsia"/>
                <w:sz w:val="20"/>
                <w:szCs w:val="20"/>
              </w:rPr>
              <w:t>2010902</w:t>
            </w:r>
          </w:p>
        </w:tc>
        <w:tc>
          <w:tcPr>
            <w:tcW w:w="2551" w:type="dxa"/>
            <w:tcBorders>
              <w:tl2br w:val="nil"/>
              <w:tr2bl w:val="nil"/>
            </w:tcBorders>
            <w:shd w:val="clear" w:color="auto" w:fill="auto"/>
            <w:vAlign w:val="center"/>
          </w:tcPr>
          <w:p>
            <w:pPr>
              <w:ind w:firstLineChars="100" w:firstLine="200"/>
              <w:jc w:val="left"/>
              <w:rPr>
                <w:sz w:val="20"/>
                <w:szCs w:val="20"/>
              </w:rPr>
            </w:pPr>
            <w:r>
              <w:rPr>
                <w:rFonts w:hint="eastAsia"/>
                <w:sz w:val="20"/>
                <w:szCs w:val="20"/>
              </w:rPr>
              <w:t>一般行政管理事务</w:t>
            </w:r>
          </w:p>
        </w:tc>
        <w:tc>
          <w:tcPr>
            <w:tcW w:w="851" w:type="dxa"/>
            <w:tcBorders>
              <w:tl2br w:val="nil"/>
              <w:tr2bl w:val="nil"/>
            </w:tcBorders>
            <w:shd w:val="clear" w:color="auto" w:fill="FFFFFF"/>
            <w:vAlign w:val="bottom"/>
          </w:tcPr>
          <w:p>
            <w:pPr>
              <w:jc w:val="right"/>
              <w:rPr>
                <w:szCs w:val="21"/>
              </w:rPr>
            </w:pPr>
            <w:r>
              <w:rPr>
                <w:szCs w:val="21"/>
              </w:rPr>
              <w:t xml:space="preserve">130.00 </w:t>
            </w:r>
          </w:p>
        </w:tc>
        <w:tc>
          <w:tcPr>
            <w:tcW w:w="992" w:type="dxa"/>
            <w:tcBorders>
              <w:tl2br w:val="nil"/>
              <w:tr2bl w:val="nil"/>
            </w:tcBorders>
            <w:shd w:val="clear" w:color="auto" w:fill="FFFFFF"/>
            <w:vAlign w:val="bottom"/>
          </w:tcPr>
          <w:p>
            <w:pPr>
              <w:jc w:val="right"/>
              <w:rPr>
                <w:szCs w:val="21"/>
              </w:rPr>
            </w:pPr>
          </w:p>
        </w:tc>
        <w:tc>
          <w:tcPr>
            <w:tcW w:w="992" w:type="dxa"/>
            <w:tcBorders>
              <w:tl2br w:val="nil"/>
              <w:tr2bl w:val="nil"/>
            </w:tcBorders>
            <w:shd w:val="clear" w:color="auto" w:fill="FFFFFF"/>
            <w:vAlign w:val="bottom"/>
          </w:tcPr>
          <w:p>
            <w:pPr>
              <w:jc w:val="right"/>
              <w:rPr>
                <w:szCs w:val="21"/>
              </w:rPr>
            </w:pPr>
          </w:p>
        </w:tc>
        <w:tc>
          <w:tcPr>
            <w:tcW w:w="992" w:type="dxa"/>
            <w:tcBorders>
              <w:tl2br w:val="nil"/>
              <w:tr2bl w:val="nil"/>
            </w:tcBorders>
            <w:shd w:val="clear" w:color="auto" w:fill="FFFFFF"/>
            <w:vAlign w:val="bottom"/>
          </w:tcPr>
          <w:p>
            <w:pPr>
              <w:jc w:val="right"/>
              <w:rPr>
                <w:szCs w:val="21"/>
              </w:rPr>
            </w:pP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0.00 </w:t>
            </w:r>
          </w:p>
        </w:tc>
        <w:tc>
          <w:tcPr>
            <w:tcW w:w="993" w:type="dxa"/>
            <w:tcBorders>
              <w:tl2br w:val="nil"/>
              <w:tr2bl w:val="nil"/>
            </w:tcBorders>
            <w:vAlign w:val="bottom"/>
          </w:tcPr>
          <w:p>
            <w:pPr>
              <w:jc w:val="right"/>
              <w:rPr>
                <w:szCs w:val="21"/>
              </w:rPr>
            </w:pPr>
            <w:r>
              <w:rPr>
                <w:szCs w:val="21"/>
              </w:rPr>
              <w:t xml:space="preserve">-130.00 </w:t>
            </w:r>
          </w:p>
        </w:tc>
        <w:tc>
          <w:tcPr>
            <w:tcW w:w="992" w:type="dxa"/>
            <w:tcBorders>
              <w:tl2br w:val="nil"/>
              <w:tr2bl w:val="nil"/>
            </w:tcBorders>
            <w:vAlign w:val="bottom"/>
          </w:tcPr>
          <w:p>
            <w:pPr>
              <w:jc w:val="right"/>
              <w:rPr>
                <w:szCs w:val="21"/>
              </w:rPr>
            </w:pPr>
            <w:r>
              <w:rPr>
                <w:szCs w:val="21"/>
              </w:rPr>
              <w:t>-100.00%</w:t>
            </w:r>
          </w:p>
        </w:tc>
        <w:tc>
          <w:tcPr>
            <w:tcW w:w="1134" w:type="dxa"/>
            <w:tcBorders>
              <w:tl2br w:val="nil"/>
              <w:tr2bl w:val="nil"/>
            </w:tcBorders>
            <w:vAlign w:val="bottom"/>
          </w:tcPr>
          <w:p>
            <w:pPr>
              <w:jc w:val="right"/>
              <w:rPr>
                <w:szCs w:val="21"/>
              </w:rPr>
            </w:pPr>
          </w:p>
        </w:tc>
        <w:tc>
          <w:tcPr>
            <w:tcW w:w="1134" w:type="dxa"/>
            <w:tcBorders>
              <w:tl2br w:val="nil"/>
              <w:tr2bl w:val="nil"/>
            </w:tcBorders>
            <w:vAlign w:val="bottom"/>
          </w:tcPr>
          <w:p>
            <w:pPr>
              <w:jc w:val="right"/>
              <w:rPr>
                <w:szCs w:val="21"/>
              </w:rPr>
            </w:pPr>
          </w:p>
        </w:tc>
      </w:tr>
      <w:tr>
        <w:trPr>
          <w:trHeight w:val="491"/>
        </w:trPr>
        <w:tc>
          <w:tcPr>
            <w:tcW w:w="1051" w:type="dxa"/>
            <w:tcBorders>
              <w:tl2br w:val="nil"/>
              <w:tr2bl w:val="nil"/>
            </w:tcBorders>
            <w:shd w:val="clear" w:color="auto" w:fill="auto"/>
            <w:vAlign w:val="center"/>
          </w:tcPr>
          <w:p>
            <w:pPr>
              <w:ind w:firstLineChars="100" w:firstLine="200"/>
              <w:jc w:val="left"/>
              <w:rPr>
                <w:rFonts w:ascii="宋体" w:cs="宋体"/>
                <w:sz w:val="20"/>
                <w:szCs w:val="20"/>
              </w:rPr>
            </w:pPr>
            <w:r>
              <w:rPr>
                <w:rFonts w:hint="eastAsia"/>
                <w:sz w:val="20"/>
                <w:szCs w:val="20"/>
              </w:rPr>
              <w:t>2010909</w:t>
            </w:r>
          </w:p>
        </w:tc>
        <w:tc>
          <w:tcPr>
            <w:tcW w:w="2551" w:type="dxa"/>
            <w:tcBorders>
              <w:tl2br w:val="nil"/>
              <w:tr2bl w:val="nil"/>
            </w:tcBorders>
            <w:shd w:val="clear" w:color="auto" w:fill="auto"/>
            <w:vAlign w:val="center"/>
          </w:tcPr>
          <w:p>
            <w:pPr>
              <w:ind w:firstLineChars="100" w:firstLine="200"/>
              <w:jc w:val="left"/>
              <w:rPr>
                <w:rFonts w:ascii="宋体" w:cs="宋体"/>
                <w:sz w:val="20"/>
                <w:szCs w:val="20"/>
              </w:rPr>
            </w:pPr>
            <w:r>
              <w:rPr>
                <w:rFonts w:hint="eastAsia"/>
                <w:sz w:val="20"/>
                <w:szCs w:val="20"/>
              </w:rPr>
              <w:t>海关关务</w:t>
            </w:r>
          </w:p>
        </w:tc>
        <w:tc>
          <w:tcPr>
            <w:tcW w:w="851" w:type="dxa"/>
            <w:tcBorders>
              <w:tl2br w:val="nil"/>
              <w:tr2bl w:val="nil"/>
            </w:tcBorders>
            <w:shd w:val="clear" w:color="auto" w:fill="FFFFFF"/>
            <w:vAlign w:val="bottom"/>
          </w:tcPr>
          <w:p>
            <w:pPr>
              <w:jc w:val="right"/>
              <w:rPr>
                <w:szCs w:val="21"/>
              </w:rPr>
            </w:pPr>
            <w:r>
              <w:rPr>
                <w:szCs w:val="21"/>
              </w:rPr>
              <w:t xml:space="preserve">121.40 </w:t>
            </w:r>
          </w:p>
        </w:tc>
        <w:tc>
          <w:tcPr>
            <w:tcW w:w="992" w:type="dxa"/>
            <w:tcBorders>
              <w:tl2br w:val="nil"/>
              <w:tr2bl w:val="nil"/>
            </w:tcBorders>
            <w:shd w:val="clear" w:color="auto" w:fill="FFFFFF"/>
            <w:vAlign w:val="bottom"/>
          </w:tcPr>
          <w:p>
            <w:pPr>
              <w:jc w:val="right"/>
              <w:rPr>
                <w:szCs w:val="21"/>
              </w:rPr>
            </w:pPr>
            <w:r>
              <w:rPr>
                <w:szCs w:val="21"/>
              </w:rPr>
              <w:t xml:space="preserve">121.40 </w:t>
            </w:r>
          </w:p>
        </w:tc>
        <w:tc>
          <w:tcPr>
            <w:tcW w:w="992" w:type="dxa"/>
            <w:tcBorders>
              <w:tl2br w:val="nil"/>
              <w:tr2bl w:val="nil"/>
            </w:tcBorders>
            <w:shd w:val="clear" w:color="auto" w:fill="FFFFFF"/>
            <w:vAlign w:val="bottom"/>
          </w:tcPr>
          <w:p>
            <w:pPr>
              <w:jc w:val="right"/>
              <w:rPr>
                <w:szCs w:val="21"/>
              </w:rPr>
            </w:pPr>
            <w:r>
              <w:rPr>
                <w:szCs w:val="21"/>
              </w:rPr>
              <w:t xml:space="preserve">40.05 </w:t>
            </w:r>
          </w:p>
        </w:tc>
        <w:tc>
          <w:tcPr>
            <w:tcW w:w="992" w:type="dxa"/>
            <w:tcBorders>
              <w:tl2br w:val="nil"/>
              <w:tr2bl w:val="nil"/>
            </w:tcBorders>
            <w:shd w:val="clear" w:color="auto" w:fill="FFFFFF"/>
            <w:vAlign w:val="bottom"/>
          </w:tcPr>
          <w:p>
            <w:pPr>
              <w:jc w:val="right"/>
              <w:rPr>
                <w:szCs w:val="21"/>
              </w:rPr>
            </w:pPr>
          </w:p>
        </w:tc>
        <w:tc>
          <w:tcPr>
            <w:tcW w:w="993" w:type="dxa"/>
            <w:tcBorders>
              <w:tl2br w:val="nil"/>
              <w:tr2bl w:val="nil"/>
            </w:tcBorders>
            <w:shd w:val="clear" w:color="auto" w:fill="FFFFFF"/>
            <w:vAlign w:val="bottom"/>
          </w:tcPr>
          <w:p>
            <w:pPr>
              <w:jc w:val="right"/>
              <w:rPr>
                <w:szCs w:val="21"/>
              </w:rPr>
            </w:pPr>
            <w:r>
              <w:rPr>
                <w:szCs w:val="21"/>
              </w:rPr>
              <w:t xml:space="preserve">40.05 </w:t>
            </w:r>
          </w:p>
        </w:tc>
        <w:tc>
          <w:tcPr>
            <w:tcW w:w="1275" w:type="dxa"/>
            <w:tcBorders>
              <w:tl2br w:val="nil"/>
              <w:tr2bl w:val="nil"/>
            </w:tcBorders>
            <w:shd w:val="clear" w:color="auto" w:fill="FFFFFF"/>
            <w:vAlign w:val="bottom"/>
          </w:tcPr>
          <w:p>
            <w:pPr>
              <w:jc w:val="right"/>
              <w:rPr>
                <w:szCs w:val="21"/>
              </w:rPr>
            </w:pPr>
            <w:r>
              <w:rPr>
                <w:szCs w:val="21"/>
              </w:rPr>
              <w:t xml:space="preserve">40.05 </w:t>
            </w:r>
          </w:p>
        </w:tc>
        <w:tc>
          <w:tcPr>
            <w:tcW w:w="993" w:type="dxa"/>
            <w:tcBorders>
              <w:tl2br w:val="nil"/>
              <w:tr2bl w:val="nil"/>
            </w:tcBorders>
            <w:vAlign w:val="bottom"/>
          </w:tcPr>
          <w:p>
            <w:pPr>
              <w:jc w:val="right"/>
              <w:rPr>
                <w:szCs w:val="21"/>
              </w:rPr>
            </w:pPr>
            <w:r>
              <w:rPr>
                <w:szCs w:val="21"/>
              </w:rPr>
              <w:t xml:space="preserve">-81.35 </w:t>
            </w:r>
          </w:p>
        </w:tc>
        <w:tc>
          <w:tcPr>
            <w:tcW w:w="992" w:type="dxa"/>
            <w:tcBorders>
              <w:tl2br w:val="nil"/>
              <w:tr2bl w:val="nil"/>
            </w:tcBorders>
            <w:vAlign w:val="bottom"/>
          </w:tcPr>
          <w:p>
            <w:pPr>
              <w:jc w:val="right"/>
              <w:rPr>
                <w:szCs w:val="21"/>
              </w:rPr>
            </w:pPr>
            <w:r>
              <w:rPr>
                <w:szCs w:val="21"/>
              </w:rPr>
              <w:t>-67.01%</w:t>
            </w:r>
          </w:p>
        </w:tc>
        <w:tc>
          <w:tcPr>
            <w:tcW w:w="1134" w:type="dxa"/>
            <w:tcBorders>
              <w:tl2br w:val="nil"/>
              <w:tr2bl w:val="nil"/>
            </w:tcBorders>
            <w:vAlign w:val="bottom"/>
          </w:tcPr>
          <w:p>
            <w:pPr>
              <w:jc w:val="right"/>
              <w:rPr>
                <w:szCs w:val="21"/>
              </w:rPr>
            </w:pPr>
            <w:r>
              <w:rPr>
                <w:szCs w:val="21"/>
              </w:rPr>
              <w:t xml:space="preserve">-81.35 </w:t>
            </w:r>
          </w:p>
        </w:tc>
        <w:tc>
          <w:tcPr>
            <w:tcW w:w="1134" w:type="dxa"/>
            <w:tcBorders>
              <w:tl2br w:val="nil"/>
              <w:tr2bl w:val="nil"/>
            </w:tcBorders>
            <w:vAlign w:val="bottom"/>
          </w:tcPr>
          <w:p>
            <w:pPr>
              <w:jc w:val="right"/>
              <w:rPr>
                <w:szCs w:val="21"/>
              </w:rPr>
            </w:pPr>
            <w:r>
              <w:rPr>
                <w:szCs w:val="21"/>
              </w:rPr>
              <w:t>-67.01%</w:t>
            </w:r>
          </w:p>
        </w:tc>
      </w:tr>
      <w:tr>
        <w:trPr>
          <w:trHeight w:val="491"/>
        </w:trPr>
        <w:tc>
          <w:tcPr>
            <w:tcW w:w="1051" w:type="dxa"/>
            <w:tcBorders>
              <w:tl2br w:val="nil"/>
              <w:tr2bl w:val="nil"/>
            </w:tcBorders>
            <w:shd w:val="clear" w:color="auto" w:fill="auto"/>
            <w:vAlign w:val="center"/>
          </w:tcPr>
          <w:p>
            <w:pPr>
              <w:ind w:firstLineChars="100" w:firstLine="200"/>
              <w:jc w:val="left"/>
              <w:rPr>
                <w:sz w:val="22"/>
                <w:szCs w:val="22"/>
              </w:rPr>
            </w:pPr>
            <w:r>
              <w:rPr>
                <w:rFonts w:hint="eastAsia"/>
                <w:sz w:val="20"/>
                <w:szCs w:val="20"/>
              </w:rPr>
              <w:t>2010912</w:t>
            </w:r>
          </w:p>
        </w:tc>
        <w:tc>
          <w:tcPr>
            <w:tcW w:w="2551" w:type="dxa"/>
            <w:tcBorders>
              <w:tl2br w:val="nil"/>
              <w:tr2bl w:val="nil"/>
            </w:tcBorders>
            <w:shd w:val="clear" w:color="auto" w:fill="auto"/>
            <w:vAlign w:val="center"/>
          </w:tcPr>
          <w:p>
            <w:pPr>
              <w:ind w:firstLineChars="100" w:firstLine="220"/>
              <w:jc w:val="left"/>
              <w:rPr>
                <w:rFonts w:ascii="宋体" w:cs="Arial"/>
                <w:sz w:val="22"/>
                <w:szCs w:val="22"/>
              </w:rPr>
            </w:pPr>
            <w:r>
              <w:rPr>
                <w:rFonts w:cs="Arial" w:hint="eastAsia"/>
                <w:sz w:val="22"/>
                <w:szCs w:val="22"/>
              </w:rPr>
              <w:t>检验检疫</w:t>
            </w:r>
          </w:p>
        </w:tc>
        <w:tc>
          <w:tcPr>
            <w:tcW w:w="851" w:type="dxa"/>
            <w:tcBorders>
              <w:tl2br w:val="nil"/>
              <w:tr2bl w:val="nil"/>
            </w:tcBorders>
            <w:shd w:val="clear" w:color="auto" w:fill="FFFFFF"/>
            <w:vAlign w:val="bottom"/>
          </w:tcPr>
          <w:p>
            <w:pPr>
              <w:jc w:val="right"/>
              <w:rPr>
                <w:szCs w:val="21"/>
              </w:rPr>
            </w:pPr>
            <w:r>
              <w:rPr>
                <w:szCs w:val="21"/>
              </w:rPr>
              <w:t xml:space="preserve">150.00 </w:t>
            </w:r>
          </w:p>
        </w:tc>
        <w:tc>
          <w:tcPr>
            <w:tcW w:w="992" w:type="dxa"/>
            <w:tcBorders>
              <w:tl2br w:val="nil"/>
              <w:tr2bl w:val="nil"/>
            </w:tcBorders>
            <w:shd w:val="clear" w:color="auto" w:fill="FFFFFF"/>
            <w:vAlign w:val="bottom"/>
          </w:tcPr>
          <w:p>
            <w:pPr>
              <w:jc w:val="right"/>
              <w:rPr>
                <w:szCs w:val="21"/>
              </w:rPr>
            </w:pPr>
            <w:r>
              <w:rPr>
                <w:szCs w:val="21"/>
              </w:rPr>
              <w:t>150</w:t>
            </w:r>
            <w:r>
              <w:rPr>
                <w:rFonts w:hint="eastAsia"/>
                <w:szCs w:val="21"/>
              </w:rPr>
              <w:t>.00</w:t>
            </w:r>
          </w:p>
        </w:tc>
        <w:tc>
          <w:tcPr>
            <w:tcW w:w="992" w:type="dxa"/>
            <w:tcBorders>
              <w:tl2br w:val="nil"/>
              <w:tr2bl w:val="nil"/>
            </w:tcBorders>
            <w:shd w:val="clear" w:color="auto" w:fill="FFFFFF"/>
            <w:vAlign w:val="bottom"/>
          </w:tcPr>
          <w:p>
            <w:pPr>
              <w:jc w:val="right"/>
              <w:rPr>
                <w:szCs w:val="21"/>
              </w:rPr>
            </w:pPr>
            <w:r>
              <w:rPr>
                <w:szCs w:val="21"/>
              </w:rPr>
              <w:t xml:space="preserve">126.00 </w:t>
            </w:r>
          </w:p>
        </w:tc>
        <w:tc>
          <w:tcPr>
            <w:tcW w:w="992" w:type="dxa"/>
            <w:tcBorders>
              <w:tl2br w:val="nil"/>
              <w:tr2bl w:val="nil"/>
            </w:tcBorders>
            <w:shd w:val="clear" w:color="auto" w:fill="FFFFFF"/>
            <w:vAlign w:val="bottom"/>
          </w:tcPr>
          <w:p>
            <w:pPr>
              <w:jc w:val="right"/>
              <w:rPr>
                <w:szCs w:val="21"/>
              </w:rPr>
            </w:pPr>
          </w:p>
        </w:tc>
        <w:tc>
          <w:tcPr>
            <w:tcW w:w="993" w:type="dxa"/>
            <w:tcBorders>
              <w:tl2br w:val="nil"/>
              <w:tr2bl w:val="nil"/>
            </w:tcBorders>
            <w:shd w:val="clear" w:color="auto" w:fill="FFFFFF"/>
            <w:vAlign w:val="bottom"/>
          </w:tcPr>
          <w:p>
            <w:pPr>
              <w:jc w:val="right"/>
              <w:rPr>
                <w:szCs w:val="21"/>
              </w:rPr>
            </w:pPr>
            <w:r>
              <w:rPr>
                <w:szCs w:val="21"/>
              </w:rPr>
              <w:t xml:space="preserve">126.00 </w:t>
            </w:r>
          </w:p>
        </w:tc>
        <w:tc>
          <w:tcPr>
            <w:tcW w:w="1275" w:type="dxa"/>
            <w:tcBorders>
              <w:tl2br w:val="nil"/>
              <w:tr2bl w:val="nil"/>
            </w:tcBorders>
            <w:shd w:val="clear" w:color="auto" w:fill="FFFFFF"/>
            <w:vAlign w:val="bottom"/>
          </w:tcPr>
          <w:p>
            <w:pPr>
              <w:jc w:val="right"/>
              <w:rPr>
                <w:szCs w:val="21"/>
              </w:rPr>
            </w:pPr>
            <w:r>
              <w:rPr>
                <w:szCs w:val="21"/>
              </w:rPr>
              <w:t xml:space="preserve">126.00 </w:t>
            </w:r>
          </w:p>
        </w:tc>
        <w:tc>
          <w:tcPr>
            <w:tcW w:w="993" w:type="dxa"/>
            <w:tcBorders>
              <w:tl2br w:val="nil"/>
              <w:tr2bl w:val="nil"/>
            </w:tcBorders>
            <w:vAlign w:val="bottom"/>
          </w:tcPr>
          <w:p>
            <w:pPr>
              <w:jc w:val="right"/>
              <w:rPr>
                <w:szCs w:val="21"/>
              </w:rPr>
            </w:pPr>
            <w:r>
              <w:rPr>
                <w:szCs w:val="21"/>
              </w:rPr>
              <w:t xml:space="preserve">-24.00 </w:t>
            </w:r>
          </w:p>
        </w:tc>
        <w:tc>
          <w:tcPr>
            <w:tcW w:w="992" w:type="dxa"/>
            <w:tcBorders>
              <w:tl2br w:val="nil"/>
              <w:tr2bl w:val="nil"/>
            </w:tcBorders>
            <w:vAlign w:val="bottom"/>
          </w:tcPr>
          <w:p>
            <w:pPr>
              <w:jc w:val="right"/>
              <w:rPr>
                <w:szCs w:val="21"/>
              </w:rPr>
            </w:pPr>
            <w:r>
              <w:rPr>
                <w:szCs w:val="21"/>
              </w:rPr>
              <w:t>-16.00%</w:t>
            </w:r>
          </w:p>
        </w:tc>
        <w:tc>
          <w:tcPr>
            <w:tcW w:w="1134" w:type="dxa"/>
            <w:tcBorders>
              <w:tl2br w:val="nil"/>
              <w:tr2bl w:val="nil"/>
            </w:tcBorders>
            <w:vAlign w:val="bottom"/>
          </w:tcPr>
          <w:p>
            <w:pPr>
              <w:jc w:val="right"/>
              <w:rPr>
                <w:szCs w:val="21"/>
              </w:rPr>
            </w:pPr>
            <w:r>
              <w:rPr>
                <w:szCs w:val="21"/>
              </w:rPr>
              <w:t xml:space="preserve">-24.00 </w:t>
            </w:r>
          </w:p>
        </w:tc>
        <w:tc>
          <w:tcPr>
            <w:tcW w:w="1134" w:type="dxa"/>
            <w:tcBorders>
              <w:tl2br w:val="nil"/>
              <w:tr2bl w:val="nil"/>
            </w:tcBorders>
            <w:vAlign w:val="bottom"/>
          </w:tcPr>
          <w:p>
            <w:pPr>
              <w:jc w:val="right"/>
              <w:rPr>
                <w:szCs w:val="21"/>
              </w:rPr>
            </w:pPr>
            <w:r>
              <w:rPr>
                <w:szCs w:val="21"/>
              </w:rPr>
              <w:t>-16.00%</w:t>
            </w:r>
          </w:p>
        </w:tc>
      </w:tr>
      <w:tr>
        <w:trPr>
          <w:trHeight w:val="491"/>
        </w:trPr>
        <w:tc>
          <w:tcPr>
            <w:tcW w:w="1051" w:type="dxa"/>
            <w:tcBorders>
              <w:tl2br w:val="nil"/>
              <w:tr2bl w:val="nil"/>
            </w:tcBorders>
            <w:shd w:val="clear" w:color="auto" w:fill="auto"/>
            <w:vAlign w:val="center"/>
          </w:tcPr>
          <w:p>
            <w:pPr>
              <w:ind w:firstLineChars="100" w:firstLine="200"/>
              <w:jc w:val="left"/>
              <w:rPr>
                <w:sz w:val="22"/>
                <w:szCs w:val="22"/>
              </w:rPr>
            </w:pPr>
            <w:r>
              <w:rPr>
                <w:sz w:val="20"/>
                <w:szCs w:val="20"/>
              </w:rPr>
              <w:t>2010950</w:t>
            </w:r>
          </w:p>
        </w:tc>
        <w:tc>
          <w:tcPr>
            <w:tcW w:w="2551" w:type="dxa"/>
            <w:tcBorders>
              <w:tl2br w:val="nil"/>
              <w:tr2bl w:val="nil"/>
            </w:tcBorders>
            <w:shd w:val="clear" w:color="auto" w:fill="auto"/>
            <w:vAlign w:val="center"/>
          </w:tcPr>
          <w:p>
            <w:pPr>
              <w:pStyle w:val="806"/>
              <w:ind w:firstLineChars="100" w:firstLine="22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事业运行</w:t>
            </w:r>
          </w:p>
        </w:tc>
        <w:tc>
          <w:tcPr>
            <w:tcW w:w="851" w:type="dxa"/>
            <w:tcBorders>
              <w:tl2br w:val="nil"/>
              <w:tr2bl w:val="nil"/>
            </w:tcBorders>
            <w:shd w:val="clear" w:color="auto" w:fill="FFFFFF"/>
            <w:vAlign w:val="bottom"/>
          </w:tcPr>
          <w:p>
            <w:pPr>
              <w:jc w:val="right"/>
              <w:rPr>
                <w:szCs w:val="21"/>
              </w:rPr>
            </w:pPr>
            <w:r>
              <w:rPr>
                <w:szCs w:val="21"/>
              </w:rPr>
              <w:t xml:space="preserve">276.64 </w:t>
            </w:r>
          </w:p>
        </w:tc>
        <w:tc>
          <w:tcPr>
            <w:tcW w:w="992" w:type="dxa"/>
            <w:tcBorders>
              <w:tl2br w:val="nil"/>
              <w:tr2bl w:val="nil"/>
            </w:tcBorders>
            <w:shd w:val="clear" w:color="auto" w:fill="FFFFFF"/>
            <w:vAlign w:val="bottom"/>
          </w:tcPr>
          <w:p>
            <w:pPr>
              <w:jc w:val="right"/>
              <w:rPr>
                <w:szCs w:val="21"/>
              </w:rPr>
            </w:pPr>
            <w:r>
              <w:rPr>
                <w:szCs w:val="21"/>
              </w:rPr>
              <w:t xml:space="preserve">276.64 </w:t>
            </w:r>
          </w:p>
        </w:tc>
        <w:tc>
          <w:tcPr>
            <w:tcW w:w="992" w:type="dxa"/>
            <w:tcBorders>
              <w:tl2br w:val="nil"/>
              <w:tr2bl w:val="nil"/>
            </w:tcBorders>
            <w:shd w:val="clear" w:color="auto" w:fill="FFFFFF"/>
            <w:vAlign w:val="bottom"/>
          </w:tcPr>
          <w:p>
            <w:pPr>
              <w:jc w:val="right"/>
              <w:rPr>
                <w:szCs w:val="21"/>
              </w:rPr>
            </w:pPr>
            <w:r>
              <w:rPr>
                <w:szCs w:val="21"/>
              </w:rPr>
              <w:t xml:space="preserve">259.91 </w:t>
            </w:r>
          </w:p>
        </w:tc>
        <w:tc>
          <w:tcPr>
            <w:tcW w:w="992" w:type="dxa"/>
            <w:tcBorders>
              <w:tl2br w:val="nil"/>
              <w:tr2bl w:val="nil"/>
            </w:tcBorders>
            <w:shd w:val="clear" w:color="auto" w:fill="FFFFFF"/>
            <w:vAlign w:val="bottom"/>
          </w:tcPr>
          <w:p>
            <w:pPr>
              <w:jc w:val="right"/>
              <w:rPr>
                <w:szCs w:val="21"/>
              </w:rPr>
            </w:pPr>
            <w:r>
              <w:rPr>
                <w:szCs w:val="21"/>
              </w:rPr>
              <w:t xml:space="preserve">259.91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259.91 </w:t>
            </w:r>
          </w:p>
        </w:tc>
        <w:tc>
          <w:tcPr>
            <w:tcW w:w="993" w:type="dxa"/>
            <w:tcBorders>
              <w:tl2br w:val="nil"/>
              <w:tr2bl w:val="nil"/>
            </w:tcBorders>
            <w:vAlign w:val="bottom"/>
          </w:tcPr>
          <w:p>
            <w:pPr>
              <w:jc w:val="right"/>
              <w:rPr>
                <w:szCs w:val="21"/>
              </w:rPr>
            </w:pPr>
            <w:r>
              <w:rPr>
                <w:szCs w:val="21"/>
              </w:rPr>
              <w:t xml:space="preserve">-16.73 </w:t>
            </w:r>
          </w:p>
        </w:tc>
        <w:tc>
          <w:tcPr>
            <w:tcW w:w="992" w:type="dxa"/>
            <w:tcBorders>
              <w:tl2br w:val="nil"/>
              <w:tr2bl w:val="nil"/>
            </w:tcBorders>
            <w:vAlign w:val="bottom"/>
          </w:tcPr>
          <w:p>
            <w:pPr>
              <w:jc w:val="right"/>
              <w:rPr>
                <w:szCs w:val="21"/>
              </w:rPr>
            </w:pPr>
            <w:r>
              <w:rPr>
                <w:szCs w:val="21"/>
              </w:rPr>
              <w:t>-6.05%</w:t>
            </w:r>
          </w:p>
        </w:tc>
        <w:tc>
          <w:tcPr>
            <w:tcW w:w="1134" w:type="dxa"/>
            <w:tcBorders>
              <w:tl2br w:val="nil"/>
              <w:tr2bl w:val="nil"/>
            </w:tcBorders>
            <w:vAlign w:val="bottom"/>
          </w:tcPr>
          <w:p>
            <w:pPr>
              <w:jc w:val="right"/>
              <w:rPr>
                <w:szCs w:val="21"/>
              </w:rPr>
            </w:pPr>
            <w:r>
              <w:rPr>
                <w:szCs w:val="21"/>
              </w:rPr>
              <w:t xml:space="preserve">-16.73 </w:t>
            </w:r>
          </w:p>
        </w:tc>
        <w:tc>
          <w:tcPr>
            <w:tcW w:w="1134" w:type="dxa"/>
            <w:tcBorders>
              <w:tl2br w:val="nil"/>
              <w:tr2bl w:val="nil"/>
            </w:tcBorders>
            <w:vAlign w:val="bottom"/>
          </w:tcPr>
          <w:p>
            <w:pPr>
              <w:jc w:val="right"/>
              <w:rPr>
                <w:szCs w:val="21"/>
              </w:rPr>
            </w:pPr>
            <w:r>
              <w:rPr>
                <w:szCs w:val="21"/>
              </w:rPr>
              <w:t>-6.05%</w:t>
            </w:r>
          </w:p>
        </w:tc>
      </w:tr>
      <w:tr>
        <w:trPr>
          <w:trHeight w:val="471"/>
        </w:trPr>
        <w:tc>
          <w:tcPr>
            <w:tcW w:w="1051" w:type="dxa"/>
            <w:tcBorders>
              <w:tl2br w:val="nil"/>
              <w:tr2bl w:val="nil"/>
            </w:tcBorders>
            <w:shd w:val="clear" w:color="auto" w:fill="auto"/>
            <w:vAlign w:val="center"/>
          </w:tcPr>
          <w:p>
            <w:pPr>
              <w:pStyle w:val="817"/>
              <w:ind w:leftChars="100" w:left="210"/>
              <w:rPr>
                <w:rFonts w:ascii="Times New Roman" w:eastAsia="宋体" w:cs="Times New Roman" w:hAnsi="Times New Roman"/>
                <w:color w:val="auto"/>
                <w:sz w:val="22"/>
                <w:szCs w:val="22"/>
              </w:rPr>
            </w:pPr>
            <w:r>
              <w:rPr>
                <w:rFonts w:ascii="Times New Roman" w:eastAsia="宋体" w:cs="Times New Roman" w:hAnsi="Times New Roman"/>
                <w:b/>
                <w:bCs/>
                <w:color w:val="auto"/>
                <w:sz w:val="22"/>
                <w:szCs w:val="22"/>
              </w:rPr>
              <w:t>208</w:t>
            </w:r>
          </w:p>
        </w:tc>
        <w:tc>
          <w:tcPr>
            <w:tcW w:w="2551" w:type="dxa"/>
            <w:tcBorders>
              <w:tl2br w:val="nil"/>
              <w:tr2bl w:val="nil"/>
            </w:tcBorders>
            <w:shd w:val="clear" w:color="auto" w:fill="auto"/>
            <w:vAlign w:val="center"/>
          </w:tcPr>
          <w:p>
            <w:pPr>
              <w:pStyle w:val="818"/>
              <w:ind w:leftChars="100" w:left="210"/>
              <w:rPr>
                <w:rFonts w:ascii="Times New Roman" w:eastAsia="宋体" w:cs="Times New Roman" w:hAnsi="Times New Roman"/>
                <w:color w:val="auto"/>
                <w:sz w:val="22"/>
                <w:szCs w:val="22"/>
              </w:rPr>
            </w:pPr>
            <w:r>
              <w:rPr>
                <w:rFonts w:ascii="Times New Roman" w:eastAsia="宋体" w:cs="Times New Roman" w:hAnsi="Times New Roman"/>
                <w:b/>
                <w:bCs/>
                <w:color w:val="auto"/>
                <w:sz w:val="22"/>
                <w:szCs w:val="22"/>
              </w:rPr>
              <w:t>社会保障和就业支出</w:t>
            </w:r>
          </w:p>
        </w:tc>
        <w:tc>
          <w:tcPr>
            <w:tcW w:w="851" w:type="dxa"/>
            <w:tcBorders>
              <w:tl2br w:val="nil"/>
              <w:tr2bl w:val="nil"/>
            </w:tcBorders>
            <w:shd w:val="clear" w:color="auto" w:fill="FFFFFF"/>
            <w:vAlign w:val="bottom"/>
          </w:tcPr>
          <w:p>
            <w:pPr>
              <w:jc w:val="right"/>
              <w:rPr>
                <w:b/>
                <w:bCs/>
                <w:szCs w:val="21"/>
              </w:rPr>
            </w:pPr>
            <w:r>
              <w:rPr>
                <w:b/>
                <w:bCs/>
                <w:szCs w:val="21"/>
              </w:rPr>
              <w:t xml:space="preserve">52.14 </w:t>
            </w:r>
          </w:p>
        </w:tc>
        <w:tc>
          <w:tcPr>
            <w:tcW w:w="992" w:type="dxa"/>
            <w:tcBorders>
              <w:tl2br w:val="nil"/>
              <w:tr2bl w:val="nil"/>
            </w:tcBorders>
            <w:shd w:val="clear" w:color="auto" w:fill="FFFFFF"/>
            <w:vAlign w:val="bottom"/>
          </w:tcPr>
          <w:p>
            <w:pPr>
              <w:jc w:val="right"/>
              <w:rPr>
                <w:b/>
                <w:bCs/>
                <w:szCs w:val="21"/>
              </w:rPr>
            </w:pPr>
            <w:r>
              <w:rPr>
                <w:b/>
                <w:bCs/>
                <w:szCs w:val="21"/>
              </w:rPr>
              <w:t xml:space="preserve">52.14 </w:t>
            </w:r>
          </w:p>
        </w:tc>
        <w:tc>
          <w:tcPr>
            <w:tcW w:w="992" w:type="dxa"/>
            <w:tcBorders>
              <w:tl2br w:val="nil"/>
              <w:tr2bl w:val="nil"/>
            </w:tcBorders>
            <w:shd w:val="clear" w:color="auto" w:fill="FFFFFF"/>
            <w:vAlign w:val="bottom"/>
          </w:tcPr>
          <w:p>
            <w:pPr>
              <w:jc w:val="right"/>
              <w:rPr>
                <w:b/>
                <w:bCs/>
                <w:szCs w:val="21"/>
              </w:rPr>
            </w:pPr>
            <w:r>
              <w:rPr>
                <w:b/>
                <w:bCs/>
                <w:szCs w:val="21"/>
              </w:rPr>
              <w:t xml:space="preserve">49.77 </w:t>
            </w:r>
          </w:p>
        </w:tc>
        <w:tc>
          <w:tcPr>
            <w:tcW w:w="992" w:type="dxa"/>
            <w:tcBorders>
              <w:tl2br w:val="nil"/>
              <w:tr2bl w:val="nil"/>
            </w:tcBorders>
            <w:shd w:val="clear" w:color="auto" w:fill="FFFFFF"/>
            <w:vAlign w:val="bottom"/>
          </w:tcPr>
          <w:p>
            <w:pPr>
              <w:jc w:val="right"/>
              <w:rPr>
                <w:b/>
                <w:bCs/>
                <w:szCs w:val="21"/>
              </w:rPr>
            </w:pPr>
            <w:r>
              <w:rPr>
                <w:b/>
                <w:bCs/>
                <w:szCs w:val="21"/>
              </w:rPr>
              <w:t xml:space="preserve">49.77 </w:t>
            </w:r>
          </w:p>
        </w:tc>
        <w:tc>
          <w:tcPr>
            <w:tcW w:w="993" w:type="dxa"/>
            <w:tcBorders>
              <w:tl2br w:val="nil"/>
              <w:tr2bl w:val="nil"/>
            </w:tcBorders>
            <w:shd w:val="clear" w:color="auto" w:fill="FFFFFF"/>
            <w:vAlign w:val="bottom"/>
          </w:tcPr>
          <w:p>
            <w:pPr>
              <w:jc w:val="right"/>
              <w:rPr>
                <w:b/>
                <w:bCs/>
                <w:szCs w:val="21"/>
              </w:rPr>
            </w:pPr>
          </w:p>
        </w:tc>
        <w:tc>
          <w:tcPr>
            <w:tcW w:w="1275" w:type="dxa"/>
            <w:tcBorders>
              <w:tl2br w:val="nil"/>
              <w:tr2bl w:val="nil"/>
            </w:tcBorders>
            <w:shd w:val="clear" w:color="auto" w:fill="FFFFFF"/>
            <w:vAlign w:val="bottom"/>
          </w:tcPr>
          <w:p>
            <w:pPr>
              <w:jc w:val="right"/>
              <w:rPr>
                <w:b/>
                <w:bCs/>
                <w:szCs w:val="21"/>
              </w:rPr>
            </w:pPr>
            <w:r>
              <w:rPr>
                <w:b/>
                <w:bCs/>
                <w:szCs w:val="21"/>
              </w:rPr>
              <w:t xml:space="preserve">49.77 </w:t>
            </w:r>
          </w:p>
        </w:tc>
        <w:tc>
          <w:tcPr>
            <w:tcW w:w="993" w:type="dxa"/>
            <w:tcBorders>
              <w:tl2br w:val="nil"/>
              <w:tr2bl w:val="nil"/>
            </w:tcBorders>
            <w:vAlign w:val="bottom"/>
          </w:tcPr>
          <w:p>
            <w:pPr>
              <w:jc w:val="right"/>
              <w:rPr>
                <w:b/>
                <w:bCs/>
                <w:szCs w:val="21"/>
              </w:rPr>
            </w:pPr>
            <w:r>
              <w:rPr>
                <w:b/>
                <w:bCs/>
                <w:szCs w:val="21"/>
              </w:rPr>
              <w:t xml:space="preserve">-2.37 </w:t>
            </w:r>
          </w:p>
        </w:tc>
        <w:tc>
          <w:tcPr>
            <w:tcW w:w="992" w:type="dxa"/>
            <w:tcBorders>
              <w:tl2br w:val="nil"/>
              <w:tr2bl w:val="nil"/>
            </w:tcBorders>
            <w:vAlign w:val="bottom"/>
          </w:tcPr>
          <w:p>
            <w:pPr>
              <w:jc w:val="right"/>
              <w:rPr>
                <w:b/>
                <w:bCs/>
                <w:szCs w:val="21"/>
              </w:rPr>
            </w:pPr>
            <w:r>
              <w:rPr>
                <w:b/>
                <w:bCs/>
                <w:szCs w:val="21"/>
              </w:rPr>
              <w:t>-4.55%</w:t>
            </w:r>
          </w:p>
        </w:tc>
        <w:tc>
          <w:tcPr>
            <w:tcW w:w="1134" w:type="dxa"/>
            <w:tcBorders>
              <w:tl2br w:val="nil"/>
              <w:tr2bl w:val="nil"/>
            </w:tcBorders>
            <w:vAlign w:val="bottom"/>
          </w:tcPr>
          <w:p>
            <w:pPr>
              <w:jc w:val="right"/>
              <w:rPr>
                <w:b/>
                <w:bCs/>
                <w:szCs w:val="21"/>
              </w:rPr>
            </w:pPr>
            <w:r>
              <w:rPr>
                <w:b/>
                <w:bCs/>
                <w:szCs w:val="21"/>
              </w:rPr>
              <w:t xml:space="preserve">-2.37 </w:t>
            </w:r>
          </w:p>
        </w:tc>
        <w:tc>
          <w:tcPr>
            <w:tcW w:w="1134" w:type="dxa"/>
            <w:tcBorders>
              <w:tl2br w:val="nil"/>
              <w:tr2bl w:val="nil"/>
            </w:tcBorders>
            <w:vAlign w:val="bottom"/>
          </w:tcPr>
          <w:p>
            <w:pPr>
              <w:jc w:val="right"/>
              <w:rPr>
                <w:b/>
                <w:bCs/>
                <w:szCs w:val="21"/>
              </w:rPr>
            </w:pPr>
            <w:r>
              <w:rPr>
                <w:b/>
                <w:bCs/>
                <w:szCs w:val="21"/>
              </w:rPr>
              <w:t>-4.55%</w:t>
            </w:r>
          </w:p>
        </w:tc>
      </w:tr>
      <w:tr>
        <w:trPr>
          <w:trHeight w:val="462"/>
        </w:trPr>
        <w:tc>
          <w:tcPr>
            <w:tcW w:w="1051" w:type="dxa"/>
            <w:tcBorders>
              <w:tl2br w:val="nil"/>
              <w:tr2bl w:val="nil"/>
            </w:tcBorders>
            <w:shd w:val="clear" w:color="auto" w:fill="auto"/>
            <w:vAlign w:val="center"/>
          </w:tcPr>
          <w:p>
            <w:pPr>
              <w:pStyle w:val="829"/>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20805</w:t>
            </w:r>
          </w:p>
        </w:tc>
        <w:tc>
          <w:tcPr>
            <w:tcW w:w="2551" w:type="dxa"/>
            <w:tcBorders>
              <w:tl2br w:val="nil"/>
              <w:tr2bl w:val="nil"/>
            </w:tcBorders>
            <w:shd w:val="clear" w:color="auto" w:fill="auto"/>
            <w:vAlign w:val="center"/>
          </w:tcPr>
          <w:p>
            <w:pPr>
              <w:pStyle w:val="830"/>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行政事业单位养老支出</w:t>
            </w:r>
          </w:p>
        </w:tc>
        <w:tc>
          <w:tcPr>
            <w:tcW w:w="851" w:type="dxa"/>
            <w:tcBorders>
              <w:tl2br w:val="nil"/>
              <w:tr2bl w:val="nil"/>
            </w:tcBorders>
            <w:shd w:val="clear" w:color="auto" w:fill="FFFFFF"/>
            <w:vAlign w:val="bottom"/>
          </w:tcPr>
          <w:p>
            <w:pPr>
              <w:jc w:val="right"/>
              <w:rPr>
                <w:szCs w:val="21"/>
              </w:rPr>
            </w:pPr>
            <w:r>
              <w:rPr>
                <w:szCs w:val="21"/>
              </w:rPr>
              <w:t xml:space="preserve">52.14 </w:t>
            </w:r>
          </w:p>
        </w:tc>
        <w:tc>
          <w:tcPr>
            <w:tcW w:w="992" w:type="dxa"/>
            <w:tcBorders>
              <w:tl2br w:val="nil"/>
              <w:tr2bl w:val="nil"/>
            </w:tcBorders>
            <w:shd w:val="clear" w:color="auto" w:fill="FFFFFF"/>
            <w:vAlign w:val="bottom"/>
          </w:tcPr>
          <w:p>
            <w:pPr>
              <w:jc w:val="right"/>
              <w:rPr>
                <w:szCs w:val="21"/>
              </w:rPr>
            </w:pPr>
            <w:r>
              <w:rPr>
                <w:szCs w:val="21"/>
              </w:rPr>
              <w:t xml:space="preserve">52.14 </w:t>
            </w:r>
          </w:p>
        </w:tc>
        <w:tc>
          <w:tcPr>
            <w:tcW w:w="992" w:type="dxa"/>
            <w:tcBorders>
              <w:tl2br w:val="nil"/>
              <w:tr2bl w:val="nil"/>
            </w:tcBorders>
            <w:shd w:val="clear" w:color="auto" w:fill="FFFFFF"/>
            <w:vAlign w:val="bottom"/>
          </w:tcPr>
          <w:p>
            <w:pPr>
              <w:jc w:val="right"/>
              <w:rPr>
                <w:szCs w:val="21"/>
              </w:rPr>
            </w:pPr>
            <w:r>
              <w:rPr>
                <w:szCs w:val="21"/>
              </w:rPr>
              <w:t xml:space="preserve">49.77 </w:t>
            </w:r>
          </w:p>
        </w:tc>
        <w:tc>
          <w:tcPr>
            <w:tcW w:w="992" w:type="dxa"/>
            <w:tcBorders>
              <w:tl2br w:val="nil"/>
              <w:tr2bl w:val="nil"/>
            </w:tcBorders>
            <w:shd w:val="clear" w:color="auto" w:fill="FFFFFF"/>
            <w:vAlign w:val="bottom"/>
          </w:tcPr>
          <w:p>
            <w:pPr>
              <w:jc w:val="right"/>
              <w:rPr>
                <w:szCs w:val="21"/>
              </w:rPr>
            </w:pPr>
            <w:r>
              <w:rPr>
                <w:szCs w:val="21"/>
              </w:rPr>
              <w:t xml:space="preserve">49.77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49.77 </w:t>
            </w:r>
          </w:p>
        </w:tc>
        <w:tc>
          <w:tcPr>
            <w:tcW w:w="993" w:type="dxa"/>
            <w:tcBorders>
              <w:tl2br w:val="nil"/>
              <w:tr2bl w:val="nil"/>
            </w:tcBorders>
            <w:vAlign w:val="bottom"/>
          </w:tcPr>
          <w:p>
            <w:pPr>
              <w:jc w:val="right"/>
              <w:rPr>
                <w:szCs w:val="21"/>
              </w:rPr>
            </w:pPr>
            <w:r>
              <w:rPr>
                <w:szCs w:val="21"/>
              </w:rPr>
              <w:t xml:space="preserve">-2.37 </w:t>
            </w:r>
          </w:p>
        </w:tc>
        <w:tc>
          <w:tcPr>
            <w:tcW w:w="992" w:type="dxa"/>
            <w:tcBorders>
              <w:tl2br w:val="nil"/>
              <w:tr2bl w:val="nil"/>
            </w:tcBorders>
            <w:vAlign w:val="bottom"/>
          </w:tcPr>
          <w:p>
            <w:pPr>
              <w:jc w:val="right"/>
              <w:rPr>
                <w:szCs w:val="21"/>
              </w:rPr>
            </w:pPr>
            <w:r>
              <w:rPr>
                <w:szCs w:val="21"/>
              </w:rPr>
              <w:t>-4.55%</w:t>
            </w:r>
          </w:p>
        </w:tc>
        <w:tc>
          <w:tcPr>
            <w:tcW w:w="1134" w:type="dxa"/>
            <w:tcBorders>
              <w:tl2br w:val="nil"/>
              <w:tr2bl w:val="nil"/>
            </w:tcBorders>
            <w:vAlign w:val="bottom"/>
          </w:tcPr>
          <w:p>
            <w:pPr>
              <w:jc w:val="right"/>
              <w:rPr>
                <w:szCs w:val="21"/>
              </w:rPr>
            </w:pPr>
            <w:r>
              <w:rPr>
                <w:szCs w:val="21"/>
              </w:rPr>
              <w:t xml:space="preserve">-2.37 </w:t>
            </w:r>
          </w:p>
        </w:tc>
        <w:tc>
          <w:tcPr>
            <w:tcW w:w="1134" w:type="dxa"/>
            <w:tcBorders>
              <w:tl2br w:val="nil"/>
              <w:tr2bl w:val="nil"/>
            </w:tcBorders>
            <w:vAlign w:val="bottom"/>
          </w:tcPr>
          <w:p>
            <w:pPr>
              <w:jc w:val="right"/>
              <w:rPr>
                <w:szCs w:val="21"/>
              </w:rPr>
            </w:pPr>
            <w:r>
              <w:rPr>
                <w:szCs w:val="21"/>
              </w:rPr>
              <w:t>-4.55%</w:t>
            </w:r>
          </w:p>
        </w:tc>
      </w:tr>
      <w:tr>
        <w:trPr>
          <w:trHeight w:val="500"/>
        </w:trPr>
        <w:tc>
          <w:tcPr>
            <w:tcW w:w="1051" w:type="dxa"/>
            <w:tcBorders>
              <w:tl2br w:val="nil"/>
              <w:tr2bl w:val="nil"/>
            </w:tcBorders>
            <w:shd w:val="clear" w:color="auto" w:fill="auto"/>
            <w:vAlign w:val="center"/>
          </w:tcPr>
          <w:p>
            <w:pPr>
              <w:ind w:firstLineChars="100" w:firstLine="200"/>
              <w:jc w:val="left"/>
              <w:rPr>
                <w:sz w:val="22"/>
                <w:szCs w:val="22"/>
              </w:rPr>
            </w:pPr>
            <w:r>
              <w:rPr>
                <w:sz w:val="20"/>
                <w:szCs w:val="20"/>
              </w:rPr>
              <w:t>2080505</w:t>
            </w:r>
          </w:p>
        </w:tc>
        <w:tc>
          <w:tcPr>
            <w:tcW w:w="2551" w:type="dxa"/>
            <w:tcBorders>
              <w:tl2br w:val="nil"/>
              <w:tr2bl w:val="nil"/>
            </w:tcBorders>
            <w:shd w:val="clear" w:color="auto" w:fill="auto"/>
            <w:vAlign w:val="center"/>
          </w:tcPr>
          <w:p>
            <w:pPr>
              <w:pStyle w:val="854"/>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机关事业单位基本养老保险缴费支出</w:t>
            </w:r>
          </w:p>
        </w:tc>
        <w:tc>
          <w:tcPr>
            <w:tcW w:w="851" w:type="dxa"/>
            <w:tcBorders>
              <w:tl2br w:val="nil"/>
              <w:tr2bl w:val="nil"/>
            </w:tcBorders>
            <w:shd w:val="clear" w:color="auto" w:fill="FFFFFF"/>
            <w:vAlign w:val="bottom"/>
          </w:tcPr>
          <w:p>
            <w:pPr>
              <w:jc w:val="right"/>
              <w:rPr>
                <w:szCs w:val="21"/>
              </w:rPr>
            </w:pPr>
            <w:r>
              <w:rPr>
                <w:szCs w:val="21"/>
              </w:rPr>
              <w:t xml:space="preserve">34.76 </w:t>
            </w:r>
          </w:p>
        </w:tc>
        <w:tc>
          <w:tcPr>
            <w:tcW w:w="992" w:type="dxa"/>
            <w:tcBorders>
              <w:tl2br w:val="nil"/>
              <w:tr2bl w:val="nil"/>
            </w:tcBorders>
            <w:shd w:val="clear" w:color="auto" w:fill="FFFFFF"/>
            <w:vAlign w:val="bottom"/>
          </w:tcPr>
          <w:p>
            <w:pPr>
              <w:jc w:val="right"/>
              <w:rPr>
                <w:szCs w:val="21"/>
              </w:rPr>
            </w:pPr>
            <w:r>
              <w:rPr>
                <w:szCs w:val="21"/>
              </w:rPr>
              <w:t xml:space="preserve">34.76 </w:t>
            </w:r>
          </w:p>
        </w:tc>
        <w:tc>
          <w:tcPr>
            <w:tcW w:w="992" w:type="dxa"/>
            <w:tcBorders>
              <w:tl2br w:val="nil"/>
              <w:tr2bl w:val="nil"/>
            </w:tcBorders>
            <w:shd w:val="clear" w:color="auto" w:fill="FFFFFF"/>
            <w:vAlign w:val="bottom"/>
          </w:tcPr>
          <w:p>
            <w:pPr>
              <w:jc w:val="right"/>
              <w:rPr>
                <w:szCs w:val="21"/>
              </w:rPr>
            </w:pPr>
            <w:r>
              <w:rPr>
                <w:szCs w:val="21"/>
              </w:rPr>
              <w:t xml:space="preserve">33.18 </w:t>
            </w:r>
          </w:p>
        </w:tc>
        <w:tc>
          <w:tcPr>
            <w:tcW w:w="992" w:type="dxa"/>
            <w:tcBorders>
              <w:tl2br w:val="nil"/>
              <w:tr2bl w:val="nil"/>
            </w:tcBorders>
            <w:shd w:val="clear" w:color="auto" w:fill="FFFFFF"/>
            <w:vAlign w:val="bottom"/>
          </w:tcPr>
          <w:p>
            <w:pPr>
              <w:jc w:val="right"/>
              <w:rPr>
                <w:szCs w:val="21"/>
              </w:rPr>
            </w:pPr>
            <w:r>
              <w:rPr>
                <w:szCs w:val="21"/>
              </w:rPr>
              <w:t xml:space="preserve">33.18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33.18 </w:t>
            </w:r>
          </w:p>
        </w:tc>
        <w:tc>
          <w:tcPr>
            <w:tcW w:w="993" w:type="dxa"/>
            <w:tcBorders>
              <w:tl2br w:val="nil"/>
              <w:tr2bl w:val="nil"/>
            </w:tcBorders>
            <w:vAlign w:val="bottom"/>
          </w:tcPr>
          <w:p>
            <w:pPr>
              <w:jc w:val="right"/>
              <w:rPr>
                <w:szCs w:val="21"/>
              </w:rPr>
            </w:pPr>
            <w:r>
              <w:rPr>
                <w:szCs w:val="21"/>
              </w:rPr>
              <w:t xml:space="preserve">-1.58 </w:t>
            </w:r>
          </w:p>
        </w:tc>
        <w:tc>
          <w:tcPr>
            <w:tcW w:w="992" w:type="dxa"/>
            <w:tcBorders>
              <w:tl2br w:val="nil"/>
              <w:tr2bl w:val="nil"/>
            </w:tcBorders>
            <w:vAlign w:val="bottom"/>
          </w:tcPr>
          <w:p>
            <w:pPr>
              <w:jc w:val="right"/>
              <w:rPr>
                <w:szCs w:val="21"/>
              </w:rPr>
            </w:pPr>
            <w:r>
              <w:rPr>
                <w:szCs w:val="21"/>
              </w:rPr>
              <w:t>-4.55%</w:t>
            </w:r>
          </w:p>
        </w:tc>
        <w:tc>
          <w:tcPr>
            <w:tcW w:w="1134" w:type="dxa"/>
            <w:tcBorders>
              <w:tl2br w:val="nil"/>
              <w:tr2bl w:val="nil"/>
            </w:tcBorders>
            <w:vAlign w:val="bottom"/>
          </w:tcPr>
          <w:p>
            <w:pPr>
              <w:jc w:val="right"/>
              <w:rPr>
                <w:szCs w:val="21"/>
              </w:rPr>
            </w:pPr>
            <w:r>
              <w:rPr>
                <w:szCs w:val="21"/>
              </w:rPr>
              <w:t xml:space="preserve">-1.58 </w:t>
            </w:r>
          </w:p>
        </w:tc>
        <w:tc>
          <w:tcPr>
            <w:tcW w:w="1134" w:type="dxa"/>
            <w:tcBorders>
              <w:tl2br w:val="nil"/>
              <w:tr2bl w:val="nil"/>
            </w:tcBorders>
            <w:vAlign w:val="bottom"/>
          </w:tcPr>
          <w:p>
            <w:pPr>
              <w:jc w:val="right"/>
              <w:rPr>
                <w:szCs w:val="21"/>
              </w:rPr>
            </w:pPr>
            <w:r>
              <w:rPr>
                <w:szCs w:val="21"/>
              </w:rPr>
              <w:t>-4.55%</w:t>
            </w:r>
          </w:p>
        </w:tc>
      </w:tr>
      <w:tr>
        <w:trPr>
          <w:trHeight w:val="661"/>
        </w:trPr>
        <w:tc>
          <w:tcPr>
            <w:tcW w:w="1051" w:type="dxa"/>
            <w:tcBorders>
              <w:tl2br w:val="nil"/>
              <w:tr2bl w:val="nil"/>
            </w:tcBorders>
            <w:shd w:val="clear" w:color="auto" w:fill="auto"/>
            <w:vAlign w:val="center"/>
          </w:tcPr>
          <w:p>
            <w:pPr>
              <w:ind w:firstLineChars="100" w:firstLine="200"/>
              <w:jc w:val="left"/>
              <w:rPr>
                <w:sz w:val="22"/>
                <w:szCs w:val="22"/>
              </w:rPr>
            </w:pPr>
            <w:r>
              <w:rPr>
                <w:sz w:val="20"/>
                <w:szCs w:val="20"/>
              </w:rPr>
              <w:t>2080506</w:t>
            </w:r>
          </w:p>
        </w:tc>
        <w:tc>
          <w:tcPr>
            <w:tcW w:w="2551" w:type="dxa"/>
            <w:tcBorders>
              <w:tl2br w:val="nil"/>
              <w:tr2bl w:val="nil"/>
            </w:tcBorders>
            <w:shd w:val="clear" w:color="auto" w:fill="auto"/>
            <w:vAlign w:val="center"/>
          </w:tcPr>
          <w:p>
            <w:pPr>
              <w:pStyle w:val="866"/>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机关事业单位职业年金缴费支出</w:t>
            </w:r>
          </w:p>
        </w:tc>
        <w:tc>
          <w:tcPr>
            <w:tcW w:w="851" w:type="dxa"/>
            <w:tcBorders>
              <w:tl2br w:val="nil"/>
              <w:tr2bl w:val="nil"/>
            </w:tcBorders>
            <w:shd w:val="clear" w:color="auto" w:fill="FFFFFF"/>
            <w:vAlign w:val="bottom"/>
          </w:tcPr>
          <w:p>
            <w:pPr>
              <w:jc w:val="right"/>
              <w:rPr>
                <w:szCs w:val="21"/>
              </w:rPr>
            </w:pPr>
            <w:r>
              <w:rPr>
                <w:szCs w:val="21"/>
              </w:rPr>
              <w:t xml:space="preserve">17.38 </w:t>
            </w:r>
          </w:p>
        </w:tc>
        <w:tc>
          <w:tcPr>
            <w:tcW w:w="992" w:type="dxa"/>
            <w:tcBorders>
              <w:tl2br w:val="nil"/>
              <w:tr2bl w:val="nil"/>
            </w:tcBorders>
            <w:shd w:val="clear" w:color="auto" w:fill="FFFFFF"/>
            <w:vAlign w:val="bottom"/>
          </w:tcPr>
          <w:p>
            <w:pPr>
              <w:jc w:val="right"/>
              <w:rPr>
                <w:szCs w:val="21"/>
              </w:rPr>
            </w:pPr>
            <w:r>
              <w:rPr>
                <w:szCs w:val="21"/>
              </w:rPr>
              <w:t xml:space="preserve">17.38 </w:t>
            </w:r>
          </w:p>
        </w:tc>
        <w:tc>
          <w:tcPr>
            <w:tcW w:w="992" w:type="dxa"/>
            <w:tcBorders>
              <w:tl2br w:val="nil"/>
              <w:tr2bl w:val="nil"/>
            </w:tcBorders>
            <w:shd w:val="clear" w:color="auto" w:fill="FFFFFF"/>
            <w:vAlign w:val="bottom"/>
          </w:tcPr>
          <w:p>
            <w:pPr>
              <w:jc w:val="right"/>
              <w:rPr>
                <w:szCs w:val="21"/>
              </w:rPr>
            </w:pPr>
            <w:r>
              <w:rPr>
                <w:szCs w:val="21"/>
              </w:rPr>
              <w:t xml:space="preserve">16.59 </w:t>
            </w:r>
          </w:p>
        </w:tc>
        <w:tc>
          <w:tcPr>
            <w:tcW w:w="992" w:type="dxa"/>
            <w:tcBorders>
              <w:tl2br w:val="nil"/>
              <w:tr2bl w:val="nil"/>
            </w:tcBorders>
            <w:shd w:val="clear" w:color="auto" w:fill="FFFFFF"/>
            <w:vAlign w:val="bottom"/>
          </w:tcPr>
          <w:p>
            <w:pPr>
              <w:jc w:val="right"/>
              <w:rPr>
                <w:szCs w:val="21"/>
              </w:rPr>
            </w:pPr>
            <w:r>
              <w:rPr>
                <w:szCs w:val="21"/>
              </w:rPr>
              <w:t xml:space="preserve">16.59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16.59 </w:t>
            </w:r>
          </w:p>
        </w:tc>
        <w:tc>
          <w:tcPr>
            <w:tcW w:w="993" w:type="dxa"/>
            <w:tcBorders>
              <w:tl2br w:val="nil"/>
              <w:tr2bl w:val="nil"/>
            </w:tcBorders>
            <w:vAlign w:val="bottom"/>
          </w:tcPr>
          <w:p>
            <w:pPr>
              <w:jc w:val="right"/>
              <w:rPr>
                <w:szCs w:val="21"/>
              </w:rPr>
            </w:pPr>
            <w:r>
              <w:rPr>
                <w:szCs w:val="21"/>
              </w:rPr>
              <w:t xml:space="preserve">-0.79 </w:t>
            </w:r>
          </w:p>
        </w:tc>
        <w:tc>
          <w:tcPr>
            <w:tcW w:w="992" w:type="dxa"/>
            <w:tcBorders>
              <w:tl2br w:val="nil"/>
              <w:tr2bl w:val="nil"/>
            </w:tcBorders>
            <w:vAlign w:val="bottom"/>
          </w:tcPr>
          <w:p>
            <w:pPr>
              <w:jc w:val="right"/>
              <w:rPr>
                <w:szCs w:val="21"/>
              </w:rPr>
            </w:pPr>
            <w:r>
              <w:rPr>
                <w:szCs w:val="21"/>
              </w:rPr>
              <w:t>-4.55%</w:t>
            </w:r>
          </w:p>
        </w:tc>
        <w:tc>
          <w:tcPr>
            <w:tcW w:w="1134" w:type="dxa"/>
            <w:tcBorders>
              <w:tl2br w:val="nil"/>
              <w:tr2bl w:val="nil"/>
            </w:tcBorders>
            <w:vAlign w:val="bottom"/>
          </w:tcPr>
          <w:p>
            <w:pPr>
              <w:jc w:val="right"/>
              <w:rPr>
                <w:szCs w:val="21"/>
              </w:rPr>
            </w:pPr>
            <w:r>
              <w:rPr>
                <w:szCs w:val="21"/>
              </w:rPr>
              <w:t xml:space="preserve">-0.79 </w:t>
            </w:r>
          </w:p>
        </w:tc>
        <w:tc>
          <w:tcPr>
            <w:tcW w:w="1134" w:type="dxa"/>
            <w:tcBorders>
              <w:tl2br w:val="nil"/>
              <w:tr2bl w:val="nil"/>
            </w:tcBorders>
            <w:vAlign w:val="bottom"/>
          </w:tcPr>
          <w:p>
            <w:pPr>
              <w:jc w:val="right"/>
              <w:rPr>
                <w:szCs w:val="21"/>
              </w:rPr>
            </w:pPr>
            <w:r>
              <w:rPr>
                <w:szCs w:val="21"/>
              </w:rPr>
              <w:t>-4.55%</w:t>
            </w:r>
          </w:p>
        </w:tc>
      </w:tr>
      <w:tr>
        <w:trPr>
          <w:trHeight w:val="405"/>
        </w:trPr>
        <w:tc>
          <w:tcPr>
            <w:tcW w:w="1051" w:type="dxa"/>
            <w:tcBorders>
              <w:tl2br w:val="nil"/>
              <w:tr2bl w:val="nil"/>
            </w:tcBorders>
            <w:shd w:val="clear" w:color="auto" w:fill="auto"/>
            <w:vAlign w:val="center"/>
          </w:tcPr>
          <w:p>
            <w:pPr>
              <w:pStyle w:val="877"/>
              <w:ind w:leftChars="100" w:left="210"/>
              <w:rPr>
                <w:rFonts w:ascii="Times New Roman" w:eastAsia="宋体" w:cs="Times New Roman" w:hAnsi="Times New Roman"/>
                <w:b/>
                <w:bCs/>
                <w:color w:val="auto"/>
                <w:sz w:val="22"/>
                <w:szCs w:val="22"/>
              </w:rPr>
            </w:pPr>
            <w:r>
              <w:rPr>
                <w:rFonts w:ascii="Times New Roman" w:eastAsia="宋体" w:cs="Times New Roman" w:hAnsi="Times New Roman"/>
                <w:b/>
                <w:bCs/>
                <w:color w:val="auto"/>
                <w:sz w:val="22"/>
                <w:szCs w:val="22"/>
              </w:rPr>
              <w:t>221</w:t>
            </w:r>
          </w:p>
        </w:tc>
        <w:tc>
          <w:tcPr>
            <w:tcW w:w="2551" w:type="dxa"/>
            <w:tcBorders>
              <w:tl2br w:val="nil"/>
              <w:tr2bl w:val="nil"/>
            </w:tcBorders>
            <w:shd w:val="clear" w:color="auto" w:fill="auto"/>
            <w:vAlign w:val="center"/>
          </w:tcPr>
          <w:p>
            <w:pPr>
              <w:pStyle w:val="878"/>
              <w:ind w:leftChars="100" w:left="210"/>
              <w:rPr>
                <w:rFonts w:ascii="Times New Roman" w:eastAsia="宋体" w:cs="Times New Roman" w:hAnsi="Times New Roman"/>
                <w:b/>
                <w:bCs/>
                <w:color w:val="auto"/>
                <w:sz w:val="22"/>
                <w:szCs w:val="22"/>
              </w:rPr>
            </w:pPr>
            <w:r>
              <w:rPr>
                <w:rFonts w:ascii="Times New Roman" w:eastAsia="宋体" w:cs="Times New Roman" w:hAnsi="Times New Roman"/>
                <w:b/>
                <w:bCs/>
                <w:color w:val="auto"/>
                <w:sz w:val="22"/>
                <w:szCs w:val="22"/>
              </w:rPr>
              <w:t>住房保障支出</w:t>
            </w:r>
          </w:p>
        </w:tc>
        <w:tc>
          <w:tcPr>
            <w:tcW w:w="851" w:type="dxa"/>
            <w:tcBorders>
              <w:tl2br w:val="nil"/>
              <w:tr2bl w:val="nil"/>
            </w:tcBorders>
            <w:shd w:val="clear" w:color="auto" w:fill="FFFFFF"/>
            <w:vAlign w:val="bottom"/>
          </w:tcPr>
          <w:p>
            <w:pPr>
              <w:jc w:val="right"/>
              <w:rPr>
                <w:b/>
                <w:bCs/>
                <w:szCs w:val="21"/>
              </w:rPr>
            </w:pPr>
            <w:r>
              <w:rPr>
                <w:b/>
                <w:bCs/>
                <w:szCs w:val="21"/>
              </w:rPr>
              <w:t xml:space="preserve">39.60 </w:t>
            </w:r>
          </w:p>
        </w:tc>
        <w:tc>
          <w:tcPr>
            <w:tcW w:w="992" w:type="dxa"/>
            <w:tcBorders>
              <w:tl2br w:val="nil"/>
              <w:tr2bl w:val="nil"/>
            </w:tcBorders>
            <w:shd w:val="clear" w:color="auto" w:fill="FFFFFF"/>
            <w:vAlign w:val="bottom"/>
          </w:tcPr>
          <w:p>
            <w:pPr>
              <w:jc w:val="right"/>
              <w:rPr>
                <w:b/>
                <w:bCs/>
                <w:szCs w:val="21"/>
              </w:rPr>
            </w:pPr>
            <w:r>
              <w:rPr>
                <w:b/>
                <w:bCs/>
                <w:szCs w:val="21"/>
              </w:rPr>
              <w:t xml:space="preserve">39.60 </w:t>
            </w:r>
          </w:p>
        </w:tc>
        <w:tc>
          <w:tcPr>
            <w:tcW w:w="992" w:type="dxa"/>
            <w:tcBorders>
              <w:tl2br w:val="nil"/>
              <w:tr2bl w:val="nil"/>
            </w:tcBorders>
            <w:shd w:val="clear" w:color="auto" w:fill="FFFFFF"/>
            <w:vAlign w:val="bottom"/>
          </w:tcPr>
          <w:p>
            <w:pPr>
              <w:jc w:val="right"/>
              <w:rPr>
                <w:b/>
                <w:bCs/>
                <w:szCs w:val="21"/>
              </w:rPr>
            </w:pPr>
            <w:r>
              <w:rPr>
                <w:b/>
                <w:bCs/>
                <w:szCs w:val="21"/>
              </w:rPr>
              <w:t xml:space="preserve">38.37 </w:t>
            </w:r>
          </w:p>
        </w:tc>
        <w:tc>
          <w:tcPr>
            <w:tcW w:w="992" w:type="dxa"/>
            <w:tcBorders>
              <w:tl2br w:val="nil"/>
              <w:tr2bl w:val="nil"/>
            </w:tcBorders>
            <w:shd w:val="clear" w:color="auto" w:fill="FFFFFF"/>
            <w:vAlign w:val="bottom"/>
          </w:tcPr>
          <w:p>
            <w:pPr>
              <w:jc w:val="right"/>
              <w:rPr>
                <w:b/>
                <w:bCs/>
                <w:szCs w:val="21"/>
              </w:rPr>
            </w:pPr>
            <w:r>
              <w:rPr>
                <w:b/>
                <w:bCs/>
                <w:szCs w:val="21"/>
              </w:rPr>
              <w:t xml:space="preserve">38.37 </w:t>
            </w:r>
          </w:p>
        </w:tc>
        <w:tc>
          <w:tcPr>
            <w:tcW w:w="993" w:type="dxa"/>
            <w:tcBorders>
              <w:tl2br w:val="nil"/>
              <w:tr2bl w:val="nil"/>
            </w:tcBorders>
            <w:shd w:val="clear" w:color="auto" w:fill="FFFFFF"/>
            <w:vAlign w:val="bottom"/>
          </w:tcPr>
          <w:p>
            <w:pPr>
              <w:jc w:val="right"/>
              <w:rPr>
                <w:b/>
                <w:bCs/>
                <w:szCs w:val="21"/>
              </w:rPr>
            </w:pPr>
          </w:p>
        </w:tc>
        <w:tc>
          <w:tcPr>
            <w:tcW w:w="1275" w:type="dxa"/>
            <w:tcBorders>
              <w:tl2br w:val="nil"/>
              <w:tr2bl w:val="nil"/>
            </w:tcBorders>
            <w:shd w:val="clear" w:color="auto" w:fill="FFFFFF"/>
            <w:vAlign w:val="bottom"/>
          </w:tcPr>
          <w:p>
            <w:pPr>
              <w:jc w:val="right"/>
              <w:rPr>
                <w:b/>
                <w:bCs/>
                <w:szCs w:val="21"/>
              </w:rPr>
            </w:pPr>
            <w:r>
              <w:rPr>
                <w:b/>
                <w:bCs/>
                <w:szCs w:val="21"/>
              </w:rPr>
              <w:t xml:space="preserve">38.37 </w:t>
            </w:r>
          </w:p>
        </w:tc>
        <w:tc>
          <w:tcPr>
            <w:tcW w:w="993" w:type="dxa"/>
            <w:tcBorders>
              <w:tl2br w:val="nil"/>
              <w:tr2bl w:val="nil"/>
            </w:tcBorders>
            <w:vAlign w:val="bottom"/>
          </w:tcPr>
          <w:p>
            <w:pPr>
              <w:jc w:val="right"/>
              <w:rPr>
                <w:b/>
                <w:bCs/>
                <w:szCs w:val="21"/>
              </w:rPr>
            </w:pPr>
            <w:r>
              <w:rPr>
                <w:b/>
                <w:bCs/>
                <w:szCs w:val="21"/>
              </w:rPr>
              <w:t xml:space="preserve">-1.23 </w:t>
            </w:r>
          </w:p>
        </w:tc>
        <w:tc>
          <w:tcPr>
            <w:tcW w:w="992" w:type="dxa"/>
            <w:tcBorders>
              <w:tl2br w:val="nil"/>
              <w:tr2bl w:val="nil"/>
            </w:tcBorders>
            <w:vAlign w:val="bottom"/>
          </w:tcPr>
          <w:p>
            <w:pPr>
              <w:jc w:val="right"/>
              <w:rPr>
                <w:b/>
                <w:bCs/>
                <w:szCs w:val="21"/>
              </w:rPr>
            </w:pPr>
            <w:r>
              <w:rPr>
                <w:b/>
                <w:bCs/>
                <w:szCs w:val="21"/>
              </w:rPr>
              <w:t>-3.11%</w:t>
            </w:r>
          </w:p>
        </w:tc>
        <w:tc>
          <w:tcPr>
            <w:tcW w:w="1134" w:type="dxa"/>
            <w:tcBorders>
              <w:tl2br w:val="nil"/>
              <w:tr2bl w:val="nil"/>
            </w:tcBorders>
            <w:vAlign w:val="bottom"/>
          </w:tcPr>
          <w:p>
            <w:pPr>
              <w:jc w:val="right"/>
              <w:rPr>
                <w:b/>
                <w:bCs/>
                <w:szCs w:val="21"/>
              </w:rPr>
            </w:pPr>
            <w:r>
              <w:rPr>
                <w:b/>
                <w:bCs/>
                <w:szCs w:val="21"/>
              </w:rPr>
              <w:t xml:space="preserve">-1.23 </w:t>
            </w:r>
          </w:p>
        </w:tc>
        <w:tc>
          <w:tcPr>
            <w:tcW w:w="1134" w:type="dxa"/>
            <w:tcBorders>
              <w:tl2br w:val="nil"/>
              <w:tr2bl w:val="nil"/>
            </w:tcBorders>
            <w:vAlign w:val="bottom"/>
          </w:tcPr>
          <w:p>
            <w:pPr>
              <w:jc w:val="right"/>
              <w:rPr>
                <w:b/>
                <w:bCs/>
                <w:szCs w:val="21"/>
              </w:rPr>
            </w:pPr>
            <w:r>
              <w:rPr>
                <w:b/>
                <w:bCs/>
                <w:szCs w:val="21"/>
              </w:rPr>
              <w:t>-3.11%</w:t>
            </w:r>
          </w:p>
        </w:tc>
      </w:tr>
      <w:tr>
        <w:trPr>
          <w:trHeight w:val="425"/>
        </w:trPr>
        <w:tc>
          <w:tcPr>
            <w:tcW w:w="1051" w:type="dxa"/>
            <w:tcBorders>
              <w:tl2br w:val="nil"/>
              <w:tr2bl w:val="nil"/>
            </w:tcBorders>
            <w:shd w:val="clear" w:color="auto" w:fill="auto"/>
            <w:vAlign w:val="center"/>
          </w:tcPr>
          <w:p>
            <w:pPr>
              <w:ind w:firstLineChars="100" w:firstLine="200"/>
              <w:jc w:val="left"/>
              <w:rPr>
                <w:sz w:val="22"/>
                <w:szCs w:val="22"/>
              </w:rPr>
            </w:pPr>
            <w:r>
              <w:rPr>
                <w:sz w:val="20"/>
                <w:szCs w:val="20"/>
              </w:rPr>
              <w:t>22102</w:t>
            </w:r>
          </w:p>
        </w:tc>
        <w:tc>
          <w:tcPr>
            <w:tcW w:w="2551" w:type="dxa"/>
            <w:tcBorders>
              <w:tl2br w:val="nil"/>
              <w:tr2bl w:val="nil"/>
            </w:tcBorders>
            <w:shd w:val="clear" w:color="auto" w:fill="auto"/>
            <w:vAlign w:val="center"/>
          </w:tcPr>
          <w:p>
            <w:pPr>
              <w:pStyle w:val="890"/>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住房改革支出</w:t>
            </w:r>
          </w:p>
        </w:tc>
        <w:tc>
          <w:tcPr>
            <w:tcW w:w="851" w:type="dxa"/>
            <w:tcBorders>
              <w:tl2br w:val="nil"/>
              <w:tr2bl w:val="nil"/>
            </w:tcBorders>
            <w:shd w:val="clear" w:color="auto" w:fill="FFFFFF"/>
            <w:vAlign w:val="bottom"/>
          </w:tcPr>
          <w:p>
            <w:pPr>
              <w:jc w:val="right"/>
              <w:rPr>
                <w:szCs w:val="21"/>
              </w:rPr>
            </w:pPr>
            <w:r>
              <w:rPr>
                <w:szCs w:val="21"/>
              </w:rPr>
              <w:t xml:space="preserve">39.60 </w:t>
            </w:r>
          </w:p>
        </w:tc>
        <w:tc>
          <w:tcPr>
            <w:tcW w:w="992" w:type="dxa"/>
            <w:tcBorders>
              <w:tl2br w:val="nil"/>
              <w:tr2bl w:val="nil"/>
            </w:tcBorders>
            <w:shd w:val="clear" w:color="auto" w:fill="FFFFFF"/>
            <w:vAlign w:val="bottom"/>
          </w:tcPr>
          <w:p>
            <w:pPr>
              <w:jc w:val="right"/>
              <w:rPr>
                <w:szCs w:val="21"/>
              </w:rPr>
            </w:pPr>
            <w:r>
              <w:rPr>
                <w:szCs w:val="21"/>
              </w:rPr>
              <w:t xml:space="preserve">39.60 </w:t>
            </w:r>
          </w:p>
        </w:tc>
        <w:tc>
          <w:tcPr>
            <w:tcW w:w="992" w:type="dxa"/>
            <w:tcBorders>
              <w:tl2br w:val="nil"/>
              <w:tr2bl w:val="nil"/>
            </w:tcBorders>
            <w:shd w:val="clear" w:color="auto" w:fill="FFFFFF"/>
            <w:vAlign w:val="bottom"/>
          </w:tcPr>
          <w:p>
            <w:pPr>
              <w:jc w:val="right"/>
              <w:rPr>
                <w:szCs w:val="21"/>
              </w:rPr>
            </w:pPr>
            <w:r>
              <w:rPr>
                <w:szCs w:val="21"/>
              </w:rPr>
              <w:t xml:space="preserve">38.37 </w:t>
            </w:r>
          </w:p>
        </w:tc>
        <w:tc>
          <w:tcPr>
            <w:tcW w:w="992" w:type="dxa"/>
            <w:tcBorders>
              <w:tl2br w:val="nil"/>
              <w:tr2bl w:val="nil"/>
            </w:tcBorders>
            <w:shd w:val="clear" w:color="auto" w:fill="FFFFFF"/>
            <w:vAlign w:val="bottom"/>
          </w:tcPr>
          <w:p>
            <w:pPr>
              <w:jc w:val="right"/>
              <w:rPr>
                <w:szCs w:val="21"/>
              </w:rPr>
            </w:pPr>
            <w:r>
              <w:rPr>
                <w:szCs w:val="21"/>
              </w:rPr>
              <w:t xml:space="preserve">38.37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38.37 </w:t>
            </w:r>
          </w:p>
        </w:tc>
        <w:tc>
          <w:tcPr>
            <w:tcW w:w="993" w:type="dxa"/>
            <w:tcBorders>
              <w:tl2br w:val="nil"/>
              <w:tr2bl w:val="nil"/>
            </w:tcBorders>
            <w:vAlign w:val="bottom"/>
          </w:tcPr>
          <w:p>
            <w:pPr>
              <w:jc w:val="right"/>
              <w:rPr>
                <w:szCs w:val="21"/>
              </w:rPr>
            </w:pPr>
            <w:r>
              <w:rPr>
                <w:szCs w:val="21"/>
              </w:rPr>
              <w:t xml:space="preserve">-1.23 </w:t>
            </w:r>
          </w:p>
        </w:tc>
        <w:tc>
          <w:tcPr>
            <w:tcW w:w="992" w:type="dxa"/>
            <w:tcBorders>
              <w:tl2br w:val="nil"/>
              <w:tr2bl w:val="nil"/>
            </w:tcBorders>
            <w:vAlign w:val="bottom"/>
          </w:tcPr>
          <w:p>
            <w:pPr>
              <w:jc w:val="right"/>
              <w:rPr>
                <w:szCs w:val="21"/>
              </w:rPr>
            </w:pPr>
            <w:r>
              <w:rPr>
                <w:szCs w:val="21"/>
              </w:rPr>
              <w:t>-3.11%</w:t>
            </w:r>
          </w:p>
        </w:tc>
        <w:tc>
          <w:tcPr>
            <w:tcW w:w="1134" w:type="dxa"/>
            <w:tcBorders>
              <w:tl2br w:val="nil"/>
              <w:tr2bl w:val="nil"/>
            </w:tcBorders>
            <w:vAlign w:val="bottom"/>
          </w:tcPr>
          <w:p>
            <w:pPr>
              <w:jc w:val="right"/>
              <w:rPr>
                <w:szCs w:val="21"/>
              </w:rPr>
            </w:pPr>
            <w:r>
              <w:rPr>
                <w:szCs w:val="21"/>
              </w:rPr>
              <w:t xml:space="preserve">-1.23 </w:t>
            </w:r>
          </w:p>
        </w:tc>
        <w:tc>
          <w:tcPr>
            <w:tcW w:w="1134" w:type="dxa"/>
            <w:tcBorders>
              <w:tl2br w:val="nil"/>
              <w:tr2bl w:val="nil"/>
            </w:tcBorders>
            <w:vAlign w:val="bottom"/>
          </w:tcPr>
          <w:p>
            <w:pPr>
              <w:jc w:val="right"/>
              <w:rPr>
                <w:szCs w:val="21"/>
              </w:rPr>
            </w:pPr>
            <w:r>
              <w:rPr>
                <w:szCs w:val="21"/>
              </w:rPr>
              <w:t>-3.11%</w:t>
            </w:r>
          </w:p>
        </w:tc>
      </w:tr>
      <w:tr>
        <w:trPr>
          <w:trHeight w:val="444"/>
        </w:trPr>
        <w:tc>
          <w:tcPr>
            <w:tcW w:w="1051" w:type="dxa"/>
            <w:tcBorders>
              <w:tl2br w:val="nil"/>
              <w:tr2bl w:val="nil"/>
            </w:tcBorders>
            <w:shd w:val="clear" w:color="auto" w:fill="auto"/>
            <w:vAlign w:val="center"/>
          </w:tcPr>
          <w:p>
            <w:pPr>
              <w:ind w:firstLineChars="100" w:firstLine="200"/>
              <w:jc w:val="left"/>
              <w:rPr>
                <w:sz w:val="22"/>
                <w:szCs w:val="22"/>
              </w:rPr>
            </w:pPr>
            <w:r>
              <w:rPr>
                <w:sz w:val="20"/>
                <w:szCs w:val="20"/>
              </w:rPr>
              <w:t>2210201</w:t>
            </w:r>
          </w:p>
        </w:tc>
        <w:tc>
          <w:tcPr>
            <w:tcW w:w="2551" w:type="dxa"/>
            <w:tcBorders>
              <w:tl2br w:val="nil"/>
              <w:tr2bl w:val="nil"/>
            </w:tcBorders>
            <w:shd w:val="clear" w:color="auto" w:fill="auto"/>
            <w:vAlign w:val="center"/>
          </w:tcPr>
          <w:p>
            <w:pPr>
              <w:pStyle w:val="902"/>
              <w:ind w:leftChars="100" w:left="210"/>
              <w:rPr>
                <w:rFonts w:ascii="Times New Roman" w:eastAsia="宋体" w:cs="Times New Roman" w:hAnsi="Times New Roman"/>
                <w:color w:val="auto"/>
                <w:sz w:val="22"/>
                <w:szCs w:val="22"/>
              </w:rPr>
            </w:pPr>
            <w:r>
              <w:rPr>
                <w:rFonts w:ascii="Times New Roman" w:eastAsia="宋体" w:cs="Times New Roman" w:hAnsi="Times New Roman"/>
                <w:color w:val="auto"/>
                <w:sz w:val="22"/>
                <w:szCs w:val="22"/>
              </w:rPr>
              <w:t>住房公积金</w:t>
            </w:r>
          </w:p>
        </w:tc>
        <w:tc>
          <w:tcPr>
            <w:tcW w:w="851" w:type="dxa"/>
            <w:tcBorders>
              <w:tl2br w:val="nil"/>
              <w:tr2bl w:val="nil"/>
            </w:tcBorders>
            <w:shd w:val="clear" w:color="auto" w:fill="FFFFFF"/>
            <w:vAlign w:val="bottom"/>
          </w:tcPr>
          <w:p>
            <w:pPr>
              <w:jc w:val="right"/>
              <w:rPr>
                <w:szCs w:val="21"/>
              </w:rPr>
            </w:pPr>
            <w:r>
              <w:rPr>
                <w:szCs w:val="21"/>
              </w:rPr>
              <w:t xml:space="preserve">39.60 </w:t>
            </w:r>
          </w:p>
        </w:tc>
        <w:tc>
          <w:tcPr>
            <w:tcW w:w="992" w:type="dxa"/>
            <w:tcBorders>
              <w:tl2br w:val="nil"/>
              <w:tr2bl w:val="nil"/>
            </w:tcBorders>
            <w:shd w:val="clear" w:color="auto" w:fill="FFFFFF"/>
            <w:vAlign w:val="bottom"/>
          </w:tcPr>
          <w:p>
            <w:pPr>
              <w:jc w:val="right"/>
              <w:rPr>
                <w:szCs w:val="21"/>
              </w:rPr>
            </w:pPr>
            <w:r>
              <w:rPr>
                <w:szCs w:val="21"/>
              </w:rPr>
              <w:t xml:space="preserve">39.60 </w:t>
            </w:r>
          </w:p>
        </w:tc>
        <w:tc>
          <w:tcPr>
            <w:tcW w:w="992" w:type="dxa"/>
            <w:tcBorders>
              <w:tl2br w:val="nil"/>
              <w:tr2bl w:val="nil"/>
            </w:tcBorders>
            <w:shd w:val="clear" w:color="auto" w:fill="FFFFFF"/>
            <w:vAlign w:val="bottom"/>
          </w:tcPr>
          <w:p>
            <w:pPr>
              <w:jc w:val="right"/>
              <w:rPr>
                <w:szCs w:val="21"/>
              </w:rPr>
            </w:pPr>
            <w:r>
              <w:rPr>
                <w:szCs w:val="21"/>
              </w:rPr>
              <w:t xml:space="preserve">38.37 </w:t>
            </w:r>
          </w:p>
        </w:tc>
        <w:tc>
          <w:tcPr>
            <w:tcW w:w="992" w:type="dxa"/>
            <w:tcBorders>
              <w:tl2br w:val="nil"/>
              <w:tr2bl w:val="nil"/>
            </w:tcBorders>
            <w:shd w:val="clear" w:color="auto" w:fill="FFFFFF"/>
            <w:vAlign w:val="bottom"/>
          </w:tcPr>
          <w:p>
            <w:pPr>
              <w:jc w:val="right"/>
              <w:rPr>
                <w:szCs w:val="21"/>
              </w:rPr>
            </w:pPr>
            <w:r>
              <w:rPr>
                <w:szCs w:val="21"/>
              </w:rPr>
              <w:t xml:space="preserve">38.37 </w:t>
            </w:r>
          </w:p>
        </w:tc>
        <w:tc>
          <w:tcPr>
            <w:tcW w:w="993" w:type="dxa"/>
            <w:tcBorders>
              <w:tl2br w:val="nil"/>
              <w:tr2bl w:val="nil"/>
            </w:tcBorders>
            <w:shd w:val="clear" w:color="auto" w:fill="FFFFFF"/>
            <w:vAlign w:val="bottom"/>
          </w:tcPr>
          <w:p>
            <w:pPr>
              <w:jc w:val="right"/>
              <w:rPr>
                <w:szCs w:val="21"/>
              </w:rPr>
            </w:pPr>
          </w:p>
        </w:tc>
        <w:tc>
          <w:tcPr>
            <w:tcW w:w="1275" w:type="dxa"/>
            <w:tcBorders>
              <w:tl2br w:val="nil"/>
              <w:tr2bl w:val="nil"/>
            </w:tcBorders>
            <w:shd w:val="clear" w:color="auto" w:fill="FFFFFF"/>
            <w:vAlign w:val="bottom"/>
          </w:tcPr>
          <w:p>
            <w:pPr>
              <w:jc w:val="right"/>
              <w:rPr>
                <w:szCs w:val="21"/>
              </w:rPr>
            </w:pPr>
            <w:r>
              <w:rPr>
                <w:szCs w:val="21"/>
              </w:rPr>
              <w:t xml:space="preserve">38.37 </w:t>
            </w:r>
          </w:p>
        </w:tc>
        <w:tc>
          <w:tcPr>
            <w:tcW w:w="993" w:type="dxa"/>
            <w:tcBorders>
              <w:tl2br w:val="nil"/>
              <w:tr2bl w:val="nil"/>
            </w:tcBorders>
            <w:vAlign w:val="bottom"/>
          </w:tcPr>
          <w:p>
            <w:pPr>
              <w:jc w:val="right"/>
              <w:rPr>
                <w:szCs w:val="21"/>
              </w:rPr>
            </w:pPr>
            <w:r>
              <w:rPr>
                <w:szCs w:val="21"/>
              </w:rPr>
              <w:t xml:space="preserve">-1.23 </w:t>
            </w:r>
          </w:p>
        </w:tc>
        <w:tc>
          <w:tcPr>
            <w:tcW w:w="992" w:type="dxa"/>
            <w:tcBorders>
              <w:tl2br w:val="nil"/>
              <w:tr2bl w:val="nil"/>
            </w:tcBorders>
            <w:vAlign w:val="bottom"/>
          </w:tcPr>
          <w:p>
            <w:pPr>
              <w:jc w:val="right"/>
              <w:rPr>
                <w:szCs w:val="21"/>
              </w:rPr>
            </w:pPr>
            <w:r>
              <w:rPr>
                <w:szCs w:val="21"/>
              </w:rPr>
              <w:t>-3.11%</w:t>
            </w:r>
          </w:p>
        </w:tc>
        <w:tc>
          <w:tcPr>
            <w:tcW w:w="1134" w:type="dxa"/>
            <w:tcBorders>
              <w:tl2br w:val="nil"/>
              <w:tr2bl w:val="nil"/>
            </w:tcBorders>
            <w:vAlign w:val="bottom"/>
          </w:tcPr>
          <w:p>
            <w:pPr>
              <w:jc w:val="right"/>
              <w:rPr>
                <w:szCs w:val="21"/>
              </w:rPr>
            </w:pPr>
            <w:r>
              <w:rPr>
                <w:szCs w:val="21"/>
              </w:rPr>
              <w:t xml:space="preserve">-1.23 </w:t>
            </w:r>
          </w:p>
        </w:tc>
        <w:tc>
          <w:tcPr>
            <w:tcW w:w="1134" w:type="dxa"/>
            <w:tcBorders>
              <w:tl2br w:val="nil"/>
              <w:tr2bl w:val="nil"/>
            </w:tcBorders>
            <w:vAlign w:val="bottom"/>
          </w:tcPr>
          <w:p>
            <w:pPr>
              <w:jc w:val="right"/>
              <w:rPr>
                <w:szCs w:val="21"/>
              </w:rPr>
            </w:pPr>
            <w:r>
              <w:rPr>
                <w:szCs w:val="21"/>
              </w:rPr>
              <w:t>-3.11%</w:t>
            </w:r>
          </w:p>
        </w:tc>
      </w:tr>
      <w:tr>
        <w:trPr>
          <w:trHeight w:val="416"/>
        </w:trPr>
        <w:tc>
          <w:tcPr>
            <w:tcW w:w="1051" w:type="dxa"/>
            <w:tcBorders>
              <w:tl2br w:val="nil"/>
              <w:tr2bl w:val="nil"/>
            </w:tcBorders>
            <w:shd w:val="clear" w:color="auto" w:fill="auto"/>
          </w:tcPr>
          <w:p>
            <w:pPr>
              <w:pStyle w:val="913"/>
              <w:spacing w:before="68" w:line="187" w:lineRule="auto"/>
              <w:jc w:val="center"/>
              <w:rPr>
                <w:rFonts w:ascii="Times New Roman" w:eastAsia="宋体" w:cs="宋体" w:hAnsi="Times New Roman"/>
                <w:b/>
                <w:bCs/>
                <w:color w:val="auto"/>
                <w:sz w:val="22"/>
                <w:szCs w:val="22"/>
              </w:rPr>
            </w:pPr>
            <w:r>
              <w:rPr>
                <w:rFonts w:ascii="Times New Roman" w:eastAsia="宋体" w:cs="宋体" w:hAnsi="Times New Roman" w:hint="eastAsia"/>
                <w:b/>
                <w:bCs/>
                <w:color w:val="auto"/>
                <w:spacing w:val="-4"/>
                <w:sz w:val="22"/>
                <w:szCs w:val="22"/>
              </w:rPr>
              <w:t>合计</w:t>
            </w:r>
          </w:p>
        </w:tc>
        <w:tc>
          <w:tcPr>
            <w:tcW w:w="2551" w:type="dxa"/>
            <w:tcBorders>
              <w:tl2br w:val="nil"/>
              <w:tr2bl w:val="nil"/>
            </w:tcBorders>
            <w:shd w:val="clear" w:color="auto" w:fill="auto"/>
            <w:vAlign w:val="center"/>
          </w:tcPr>
          <w:p>
            <w:pPr>
              <w:pStyle w:val="914"/>
              <w:ind w:leftChars="100" w:left="210"/>
              <w:rPr>
                <w:rFonts w:ascii="Times New Roman" w:eastAsia="宋体" w:cs="Times New Roman" w:hAnsi="Times New Roman"/>
                <w:b/>
                <w:color w:val="auto"/>
                <w:sz w:val="22"/>
                <w:szCs w:val="22"/>
              </w:rPr>
            </w:pPr>
          </w:p>
        </w:tc>
        <w:tc>
          <w:tcPr>
            <w:tcW w:w="851" w:type="dxa"/>
            <w:tcBorders>
              <w:tl2br w:val="nil"/>
              <w:tr2bl w:val="nil"/>
            </w:tcBorders>
            <w:shd w:val="clear" w:color="auto" w:fill="FFFFFF"/>
            <w:vAlign w:val="bottom"/>
          </w:tcPr>
          <w:p>
            <w:pPr>
              <w:jc w:val="right"/>
              <w:rPr>
                <w:b/>
                <w:bCs/>
                <w:szCs w:val="21"/>
              </w:rPr>
            </w:pPr>
            <w:r>
              <w:rPr>
                <w:b/>
                <w:bCs/>
                <w:szCs w:val="21"/>
              </w:rPr>
              <w:t xml:space="preserve">769.78 </w:t>
            </w:r>
          </w:p>
        </w:tc>
        <w:tc>
          <w:tcPr>
            <w:tcW w:w="992" w:type="dxa"/>
            <w:tcBorders>
              <w:tl2br w:val="nil"/>
              <w:tr2bl w:val="nil"/>
            </w:tcBorders>
            <w:shd w:val="clear" w:color="auto" w:fill="FFFFFF"/>
            <w:vAlign w:val="bottom"/>
          </w:tcPr>
          <w:p>
            <w:pPr>
              <w:jc w:val="right"/>
              <w:rPr>
                <w:b/>
                <w:bCs/>
                <w:szCs w:val="21"/>
              </w:rPr>
            </w:pPr>
            <w:r>
              <w:rPr>
                <w:b/>
                <w:bCs/>
                <w:szCs w:val="21"/>
              </w:rPr>
              <w:t xml:space="preserve">639.78 </w:t>
            </w:r>
          </w:p>
        </w:tc>
        <w:tc>
          <w:tcPr>
            <w:tcW w:w="992" w:type="dxa"/>
            <w:tcBorders>
              <w:tl2br w:val="nil"/>
              <w:tr2bl w:val="nil"/>
            </w:tcBorders>
            <w:shd w:val="clear" w:color="auto" w:fill="FFFFFF"/>
            <w:vAlign w:val="bottom"/>
          </w:tcPr>
          <w:p>
            <w:pPr>
              <w:jc w:val="right"/>
              <w:rPr>
                <w:b/>
                <w:bCs/>
                <w:szCs w:val="21"/>
              </w:rPr>
            </w:pPr>
            <w:r>
              <w:rPr>
                <w:b/>
                <w:bCs/>
                <w:szCs w:val="21"/>
              </w:rPr>
              <w:t xml:space="preserve">514.10 </w:t>
            </w:r>
          </w:p>
        </w:tc>
        <w:tc>
          <w:tcPr>
            <w:tcW w:w="992" w:type="dxa"/>
            <w:tcBorders>
              <w:tl2br w:val="nil"/>
              <w:tr2bl w:val="nil"/>
            </w:tcBorders>
            <w:shd w:val="clear" w:color="auto" w:fill="FFFFFF"/>
            <w:vAlign w:val="bottom"/>
          </w:tcPr>
          <w:p>
            <w:pPr>
              <w:jc w:val="right"/>
              <w:rPr>
                <w:b/>
                <w:bCs/>
                <w:szCs w:val="21"/>
              </w:rPr>
            </w:pPr>
            <w:r>
              <w:rPr>
                <w:b/>
                <w:bCs/>
                <w:szCs w:val="21"/>
              </w:rPr>
              <w:t xml:space="preserve">348.05 </w:t>
            </w:r>
          </w:p>
        </w:tc>
        <w:tc>
          <w:tcPr>
            <w:tcW w:w="993" w:type="dxa"/>
            <w:tcBorders>
              <w:tl2br w:val="nil"/>
              <w:tr2bl w:val="nil"/>
            </w:tcBorders>
            <w:shd w:val="clear" w:color="auto" w:fill="FFFFFF"/>
            <w:vAlign w:val="bottom"/>
          </w:tcPr>
          <w:p>
            <w:pPr>
              <w:jc w:val="right"/>
              <w:rPr>
                <w:b/>
                <w:bCs/>
                <w:szCs w:val="21"/>
              </w:rPr>
            </w:pPr>
            <w:r>
              <w:rPr>
                <w:b/>
                <w:bCs/>
                <w:szCs w:val="21"/>
              </w:rPr>
              <w:t xml:space="preserve">166.05 </w:t>
            </w:r>
          </w:p>
        </w:tc>
        <w:tc>
          <w:tcPr>
            <w:tcW w:w="1275" w:type="dxa"/>
            <w:tcBorders>
              <w:tl2br w:val="nil"/>
              <w:tr2bl w:val="nil"/>
            </w:tcBorders>
            <w:shd w:val="clear" w:color="auto" w:fill="FFFFFF"/>
            <w:vAlign w:val="bottom"/>
          </w:tcPr>
          <w:p>
            <w:pPr>
              <w:jc w:val="right"/>
              <w:rPr>
                <w:b/>
                <w:bCs/>
                <w:szCs w:val="21"/>
              </w:rPr>
            </w:pPr>
            <w:r>
              <w:rPr>
                <w:b/>
                <w:bCs/>
                <w:szCs w:val="21"/>
              </w:rPr>
              <w:t xml:space="preserve">514.10 </w:t>
            </w:r>
          </w:p>
        </w:tc>
        <w:tc>
          <w:tcPr>
            <w:tcW w:w="993" w:type="dxa"/>
            <w:tcBorders>
              <w:tl2br w:val="nil"/>
              <w:tr2bl w:val="nil"/>
            </w:tcBorders>
            <w:vAlign w:val="bottom"/>
          </w:tcPr>
          <w:p>
            <w:pPr>
              <w:jc w:val="right"/>
              <w:rPr>
                <w:b/>
                <w:bCs/>
                <w:szCs w:val="21"/>
              </w:rPr>
            </w:pPr>
            <w:r>
              <w:rPr>
                <w:b/>
                <w:bCs/>
                <w:szCs w:val="21"/>
              </w:rPr>
              <w:t xml:space="preserve">-255.68 </w:t>
            </w:r>
          </w:p>
        </w:tc>
        <w:tc>
          <w:tcPr>
            <w:tcW w:w="992" w:type="dxa"/>
            <w:tcBorders>
              <w:tl2br w:val="nil"/>
              <w:tr2bl w:val="nil"/>
            </w:tcBorders>
            <w:vAlign w:val="bottom"/>
          </w:tcPr>
          <w:p>
            <w:pPr>
              <w:jc w:val="right"/>
              <w:rPr>
                <w:b/>
                <w:bCs/>
                <w:szCs w:val="21"/>
              </w:rPr>
            </w:pPr>
            <w:r>
              <w:rPr>
                <w:b/>
                <w:bCs/>
                <w:szCs w:val="21"/>
              </w:rPr>
              <w:t>-33.21%</w:t>
            </w:r>
          </w:p>
        </w:tc>
        <w:tc>
          <w:tcPr>
            <w:tcW w:w="1134" w:type="dxa"/>
            <w:tcBorders>
              <w:tl2br w:val="nil"/>
              <w:tr2bl w:val="nil"/>
            </w:tcBorders>
            <w:vAlign w:val="bottom"/>
          </w:tcPr>
          <w:p>
            <w:pPr>
              <w:jc w:val="right"/>
              <w:rPr>
                <w:b/>
                <w:bCs/>
                <w:szCs w:val="21"/>
              </w:rPr>
            </w:pPr>
            <w:r>
              <w:rPr>
                <w:b/>
                <w:bCs/>
                <w:szCs w:val="21"/>
              </w:rPr>
              <w:t xml:space="preserve">-125.68 </w:t>
            </w:r>
          </w:p>
        </w:tc>
        <w:tc>
          <w:tcPr>
            <w:tcW w:w="1134" w:type="dxa"/>
            <w:tcBorders>
              <w:tl2br w:val="nil"/>
              <w:tr2bl w:val="nil"/>
            </w:tcBorders>
            <w:vAlign w:val="bottom"/>
          </w:tcPr>
          <w:p>
            <w:pPr>
              <w:jc w:val="right"/>
              <w:rPr>
                <w:b/>
                <w:bCs/>
                <w:szCs w:val="21"/>
              </w:rPr>
            </w:pPr>
            <w:r>
              <w:rPr>
                <w:b/>
                <w:bCs/>
                <w:szCs w:val="21"/>
              </w:rPr>
              <w:t>-19.64%</w:t>
            </w:r>
          </w:p>
        </w:tc>
      </w:tr>
    </w:tbl>
    <w:p>
      <w:pPr>
        <w:pStyle w:val="538"/>
        <w:rPr>
          <w:rFonts w:ascii="Times New Roman" w:eastAsia="宋体" w:hAnsi="Times New Roman"/>
          <w:color w:val="auto"/>
          <w:sz w:val="22"/>
          <w:szCs w:val="22"/>
        </w:rPr>
        <w:sectPr>
          <w:pgSz w:w="16841" w:h="11907" w:orient="landscape"/>
          <w:pgMar w:top="883" w:right="796" w:bottom="881" w:left="0" w:header="0" w:footer="0" w:gutter="0"/>
          <w:docGrid w:linePitch="285" w:charSpace="0"/>
        </w:sectPr>
      </w:pPr>
    </w:p>
    <w:p>
      <w:pPr>
        <w:pStyle w:val="527"/>
        <w:ind w:right="1600"/>
        <w:jc w:val="right"/>
        <w:rPr>
          <w:rFonts w:ascii="黑体" w:eastAsia="黑体" w:cs="黑体"/>
          <w:b/>
          <w:snapToGrid w:val="0"/>
          <w:sz w:val="20"/>
          <w:szCs w:val="20"/>
        </w:rPr>
      </w:pPr>
      <w:r>
        <w:rPr>
          <w:rFonts w:ascii="黑体" w:eastAsia="黑体" w:cs="黑体" w:hint="eastAsia"/>
          <w:b/>
          <w:snapToGrid w:val="0"/>
          <w:sz w:val="20"/>
          <w:szCs w:val="20"/>
        </w:rPr>
        <w:t>部门公开表 6</w:t>
      </w:r>
    </w:p>
    <w:p>
      <w:pPr>
        <w:pStyle w:val="527"/>
        <w:jc w:val="center"/>
        <w:rPr>
          <w:rFonts w:cs="Microsoft JhengHei"/>
          <w:b/>
          <w:snapToGrid w:val="0"/>
          <w:sz w:val="36"/>
          <w:szCs w:val="36"/>
        </w:rPr>
      </w:pPr>
      <w:r>
        <w:rPr>
          <w:rFonts w:cs="Microsoft JhengHei" w:hint="eastAsia"/>
          <w:b/>
          <w:snapToGrid w:val="0"/>
          <w:sz w:val="36"/>
          <w:szCs w:val="36"/>
        </w:rPr>
        <w:t>一般公共预算基本支出表</w:t>
      </w:r>
    </w:p>
    <w:p>
      <w:pPr>
        <w:pStyle w:val="548"/>
        <w:spacing w:before="42" w:line="180" w:lineRule="auto"/>
        <w:ind w:right="388" w:firstLine="9712"/>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 xml:space="preserve">                 单位：万元</w:t>
      </w:r>
    </w:p>
    <w:p>
      <w:pPr>
        <w:pStyle w:val="548"/>
        <w:spacing w:line="19" w:lineRule="auto"/>
        <w:rPr>
          <w:rFonts w:ascii="Times New Roman" w:eastAsia="宋体" w:hAnsi="Times New Roman"/>
          <w:color w:val="auto"/>
          <w:sz w:val="2"/>
        </w:rPr>
      </w:pPr>
    </w:p>
    <w:tbl>
      <w:tblPr>
        <w:jc w:val="center"/>
        <w:tblW w:w="12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1456"/>
        <w:gridCol w:w="4665"/>
        <w:gridCol w:w="2126"/>
        <w:gridCol w:w="2126"/>
        <w:gridCol w:w="1702"/>
      </w:tblGrid>
      <w:tr>
        <w:trPr>
          <w:trHeight w:val="364"/>
        </w:trPr>
        <w:tc>
          <w:tcPr>
            <w:tcW w:w="6121" w:type="dxa"/>
            <w:gridSpan w:val="2"/>
            <w:tcBorders>
              <w:tl2br w:val="nil"/>
              <w:tr2bl w:val="nil"/>
            </w:tcBorders>
            <w:vAlign w:val="center"/>
          </w:tcPr>
          <w:p>
            <w:pPr>
              <w:pStyle w:val="548"/>
              <w:spacing w:before="43" w:line="180"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1"/>
                <w:sz w:val="20"/>
                <w:szCs w:val="20"/>
              </w:rPr>
              <w:t>部门预算支出经济分类科目</w:t>
            </w:r>
          </w:p>
        </w:tc>
        <w:tc>
          <w:tcPr>
            <w:tcW w:w="5954" w:type="dxa"/>
            <w:gridSpan w:val="3"/>
            <w:tcBorders>
              <w:tl2br w:val="nil"/>
              <w:tr2bl w:val="nil"/>
            </w:tcBorders>
            <w:vAlign w:val="center"/>
          </w:tcPr>
          <w:p>
            <w:pPr>
              <w:pStyle w:val="548"/>
              <w:spacing w:before="43" w:line="180"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5"/>
                <w:sz w:val="20"/>
                <w:szCs w:val="20"/>
              </w:rPr>
              <w:t>202</w:t>
            </w:r>
            <w:r>
              <w:rPr>
                <w:rFonts w:ascii="Times New Roman" w:eastAsia="宋体" w:cs="Microsoft JhengHei" w:hAnsi="Times New Roman"/>
                <w:color w:val="auto"/>
                <w:spacing w:val="-5"/>
                <w:sz w:val="20"/>
                <w:szCs w:val="20"/>
              </w:rPr>
              <w:t>5</w:t>
            </w:r>
            <w:r>
              <w:rPr>
                <w:rFonts w:ascii="Times New Roman" w:eastAsia="宋体" w:cs="Microsoft JhengHei" w:hAnsi="Times New Roman" w:hint="eastAsia"/>
                <w:color w:val="auto"/>
                <w:spacing w:val="-5"/>
                <w:sz w:val="20"/>
                <w:szCs w:val="20"/>
              </w:rPr>
              <w:t>年基本支出</w:t>
            </w:r>
          </w:p>
        </w:tc>
      </w:tr>
      <w:tr>
        <w:trPr>
          <w:trHeight w:val="357"/>
        </w:trPr>
        <w:tc>
          <w:tcPr>
            <w:tcW w:w="1456" w:type="dxa"/>
            <w:tcBorders>
              <w:tl2br w:val="nil"/>
              <w:tr2bl w:val="nil"/>
            </w:tcBorders>
            <w:vAlign w:val="center"/>
          </w:tcPr>
          <w:p>
            <w:pPr>
              <w:pStyle w:val="548"/>
              <w:spacing w:before="35" w:line="182"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2"/>
                <w:sz w:val="20"/>
                <w:szCs w:val="20"/>
              </w:rPr>
              <w:t>科目编码</w:t>
            </w:r>
          </w:p>
        </w:tc>
        <w:tc>
          <w:tcPr>
            <w:tcW w:w="4665" w:type="dxa"/>
            <w:tcBorders>
              <w:tl2br w:val="nil"/>
              <w:tr2bl w:val="nil"/>
            </w:tcBorders>
            <w:vAlign w:val="center"/>
          </w:tcPr>
          <w:p>
            <w:pPr>
              <w:pStyle w:val="548"/>
              <w:spacing w:before="35" w:line="180"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2"/>
                <w:sz w:val="20"/>
                <w:szCs w:val="20"/>
              </w:rPr>
              <w:t>科目名称</w:t>
            </w:r>
          </w:p>
        </w:tc>
        <w:tc>
          <w:tcPr>
            <w:tcW w:w="2126" w:type="dxa"/>
            <w:tcBorders>
              <w:tl2br w:val="nil"/>
              <w:tr2bl w:val="nil"/>
            </w:tcBorders>
            <w:vAlign w:val="center"/>
          </w:tcPr>
          <w:p>
            <w:pPr>
              <w:pStyle w:val="548"/>
              <w:spacing w:before="35" w:line="182"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合计</w:t>
            </w:r>
          </w:p>
        </w:tc>
        <w:tc>
          <w:tcPr>
            <w:tcW w:w="2126" w:type="dxa"/>
            <w:tcBorders>
              <w:tl2br w:val="nil"/>
              <w:tr2bl w:val="nil"/>
            </w:tcBorders>
            <w:vAlign w:val="center"/>
          </w:tcPr>
          <w:p>
            <w:pPr>
              <w:pStyle w:val="548"/>
              <w:spacing w:before="35" w:line="182"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人员经费</w:t>
            </w:r>
          </w:p>
        </w:tc>
        <w:tc>
          <w:tcPr>
            <w:tcW w:w="1702" w:type="dxa"/>
            <w:tcBorders>
              <w:tl2br w:val="nil"/>
              <w:tr2bl w:val="nil"/>
            </w:tcBorders>
            <w:vAlign w:val="center"/>
          </w:tcPr>
          <w:p>
            <w:pPr>
              <w:pStyle w:val="548"/>
              <w:spacing w:before="35" w:line="182" w:lineRule="auto"/>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1"/>
                <w:sz w:val="20"/>
                <w:szCs w:val="20"/>
              </w:rPr>
              <w:t>公用经费</w:t>
            </w:r>
          </w:p>
        </w:tc>
      </w:tr>
      <w:tr>
        <w:trPr>
          <w:trHeight w:val="289"/>
        </w:trPr>
        <w:tc>
          <w:tcPr>
            <w:tcW w:w="1456" w:type="dxa"/>
            <w:tcBorders>
              <w:tl2br w:val="nil"/>
              <w:tr2bl w:val="nil"/>
            </w:tcBorders>
            <w:vAlign w:val="center"/>
          </w:tcPr>
          <w:p>
            <w:pPr>
              <w:jc w:val="left"/>
              <w:rPr>
                <w:rFonts w:ascii="宋体" w:cs="宋体"/>
                <w:b/>
                <w:bCs/>
                <w:sz w:val="24"/>
              </w:rPr>
            </w:pPr>
            <w:r>
              <w:rPr>
                <w:rFonts w:hint="eastAsia"/>
                <w:b/>
                <w:bCs/>
                <w:sz w:val="24"/>
              </w:rPr>
              <w:t>301</w:t>
            </w:r>
          </w:p>
        </w:tc>
        <w:tc>
          <w:tcPr>
            <w:tcW w:w="4665" w:type="dxa"/>
            <w:tcBorders>
              <w:tl2br w:val="nil"/>
              <w:tr2bl w:val="nil"/>
            </w:tcBorders>
            <w:vAlign w:val="center"/>
          </w:tcPr>
          <w:p>
            <w:pPr>
              <w:jc w:val="left"/>
              <w:rPr>
                <w:rFonts w:ascii="宋体" w:cs="宋体"/>
                <w:b/>
                <w:bCs/>
                <w:sz w:val="24"/>
              </w:rPr>
            </w:pPr>
            <w:r>
              <w:rPr>
                <w:rFonts w:hint="eastAsia"/>
                <w:b/>
                <w:bCs/>
                <w:sz w:val="24"/>
              </w:rPr>
              <w:t>工资福利支出</w:t>
            </w:r>
          </w:p>
        </w:tc>
        <w:tc>
          <w:tcPr>
            <w:tcW w:w="2126" w:type="dxa"/>
            <w:tcBorders>
              <w:tl2br w:val="nil"/>
              <w:tr2bl w:val="nil"/>
            </w:tcBorders>
            <w:vAlign w:val="center"/>
          </w:tcPr>
          <w:p>
            <w:pPr>
              <w:jc w:val="center"/>
              <w:rPr>
                <w:b/>
                <w:bCs/>
                <w:sz w:val="24"/>
              </w:rPr>
            </w:pPr>
            <w:r>
              <w:rPr>
                <w:rFonts w:hint="eastAsia"/>
                <w:b/>
                <w:bCs/>
                <w:sz w:val="24"/>
              </w:rPr>
              <w:t>279.95</w:t>
            </w:r>
          </w:p>
        </w:tc>
        <w:tc>
          <w:tcPr>
            <w:tcW w:w="2126" w:type="dxa"/>
            <w:tcBorders>
              <w:tl2br w:val="nil"/>
              <w:tr2bl w:val="nil"/>
            </w:tcBorders>
            <w:vAlign w:val="center"/>
          </w:tcPr>
          <w:p>
            <w:pPr>
              <w:jc w:val="center"/>
              <w:rPr>
                <w:b/>
                <w:bCs/>
                <w:sz w:val="24"/>
              </w:rPr>
            </w:pPr>
            <w:r>
              <w:rPr>
                <w:rFonts w:hint="eastAsia"/>
                <w:b/>
                <w:bCs/>
                <w:sz w:val="24"/>
              </w:rPr>
              <w:t>279.95</w:t>
            </w:r>
          </w:p>
        </w:tc>
        <w:tc>
          <w:tcPr>
            <w:tcW w:w="1702" w:type="dxa"/>
            <w:tcBorders>
              <w:tl2br w:val="nil"/>
              <w:tr2bl w:val="nil"/>
            </w:tcBorders>
            <w:vAlign w:val="center"/>
          </w:tcPr>
          <w:p>
            <w:pPr>
              <w:jc w:val="center"/>
              <w:rPr>
                <w:bCs/>
                <w:sz w:val="24"/>
              </w:rPr>
            </w:pPr>
          </w:p>
        </w:tc>
      </w:tr>
      <w:tr>
        <w:trPr>
          <w:trHeight w:val="289"/>
        </w:trPr>
        <w:tc>
          <w:tcPr>
            <w:tcW w:w="1456" w:type="dxa"/>
            <w:tcBorders>
              <w:tl2br w:val="nil"/>
              <w:tr2bl w:val="nil"/>
            </w:tcBorders>
            <w:vAlign w:val="center"/>
          </w:tcPr>
          <w:p>
            <w:pPr>
              <w:jc w:val="left"/>
              <w:rPr>
                <w:rFonts w:ascii="宋体" w:cs="宋体"/>
                <w:sz w:val="24"/>
              </w:rPr>
            </w:pPr>
            <w:r>
              <w:rPr>
                <w:rFonts w:hint="eastAsia"/>
                <w:sz w:val="24"/>
              </w:rPr>
              <w:t>30101</w:t>
            </w:r>
          </w:p>
        </w:tc>
        <w:tc>
          <w:tcPr>
            <w:tcW w:w="4665" w:type="dxa"/>
            <w:tcBorders>
              <w:tl2br w:val="nil"/>
              <w:tr2bl w:val="nil"/>
            </w:tcBorders>
            <w:vAlign w:val="center"/>
          </w:tcPr>
          <w:p>
            <w:pPr>
              <w:jc w:val="left"/>
              <w:rPr>
                <w:rFonts w:ascii="宋体" w:cs="宋体"/>
                <w:sz w:val="24"/>
              </w:rPr>
            </w:pPr>
            <w:r>
              <w:rPr>
                <w:rFonts w:hint="eastAsia"/>
                <w:sz w:val="24"/>
              </w:rPr>
              <w:t>基本工资</w:t>
            </w:r>
          </w:p>
        </w:tc>
        <w:tc>
          <w:tcPr>
            <w:tcW w:w="2126" w:type="dxa"/>
            <w:tcBorders>
              <w:tl2br w:val="nil"/>
              <w:tr2bl w:val="nil"/>
            </w:tcBorders>
            <w:vAlign w:val="center"/>
          </w:tcPr>
          <w:p>
            <w:pPr>
              <w:jc w:val="center"/>
              <w:rPr>
                <w:bCs/>
                <w:sz w:val="24"/>
              </w:rPr>
            </w:pPr>
            <w:r>
              <w:rPr>
                <w:rFonts w:hint="eastAsia"/>
                <w:bCs/>
                <w:sz w:val="24"/>
              </w:rPr>
              <w:t>84.48</w:t>
            </w:r>
          </w:p>
        </w:tc>
        <w:tc>
          <w:tcPr>
            <w:tcW w:w="2126" w:type="dxa"/>
            <w:tcBorders>
              <w:tl2br w:val="nil"/>
              <w:tr2bl w:val="nil"/>
            </w:tcBorders>
            <w:vAlign w:val="center"/>
          </w:tcPr>
          <w:p>
            <w:pPr>
              <w:jc w:val="center"/>
              <w:rPr>
                <w:bCs/>
                <w:sz w:val="24"/>
              </w:rPr>
            </w:pPr>
            <w:r>
              <w:rPr>
                <w:rFonts w:hint="eastAsia"/>
                <w:bCs/>
                <w:sz w:val="24"/>
              </w:rPr>
              <w:t>84.48</w:t>
            </w:r>
          </w:p>
        </w:tc>
        <w:tc>
          <w:tcPr>
            <w:tcW w:w="1702" w:type="dxa"/>
            <w:tcBorders>
              <w:tl2br w:val="nil"/>
              <w:tr2bl w:val="nil"/>
            </w:tcBorders>
            <w:vAlign w:val="center"/>
          </w:tcPr>
          <w:p>
            <w:pPr>
              <w:jc w:val="center"/>
              <w:rPr>
                <w:bCs/>
                <w:sz w:val="24"/>
              </w:rPr>
            </w:pPr>
          </w:p>
        </w:tc>
      </w:tr>
      <w:tr>
        <w:trPr>
          <w:trHeight w:val="289"/>
        </w:trPr>
        <w:tc>
          <w:tcPr>
            <w:tcW w:w="1456" w:type="dxa"/>
            <w:tcBorders>
              <w:tl2br w:val="nil"/>
              <w:tr2bl w:val="nil"/>
            </w:tcBorders>
            <w:vAlign w:val="center"/>
          </w:tcPr>
          <w:p>
            <w:pPr>
              <w:jc w:val="left"/>
              <w:rPr>
                <w:rFonts w:ascii="宋体" w:cs="宋体"/>
                <w:sz w:val="24"/>
              </w:rPr>
            </w:pPr>
            <w:r>
              <w:rPr>
                <w:rFonts w:hint="eastAsia"/>
                <w:sz w:val="24"/>
              </w:rPr>
              <w:t>30107</w:t>
            </w:r>
          </w:p>
        </w:tc>
        <w:tc>
          <w:tcPr>
            <w:tcW w:w="4665" w:type="dxa"/>
            <w:tcBorders>
              <w:tl2br w:val="nil"/>
              <w:tr2bl w:val="nil"/>
            </w:tcBorders>
            <w:vAlign w:val="center"/>
          </w:tcPr>
          <w:p>
            <w:pPr>
              <w:jc w:val="left"/>
              <w:rPr>
                <w:rFonts w:ascii="宋体" w:cs="宋体"/>
                <w:sz w:val="24"/>
              </w:rPr>
            </w:pPr>
            <w:r>
              <w:rPr>
                <w:rFonts w:hint="eastAsia"/>
                <w:sz w:val="24"/>
              </w:rPr>
              <w:t>绩效工资</w:t>
            </w:r>
          </w:p>
        </w:tc>
        <w:tc>
          <w:tcPr>
            <w:tcW w:w="2126" w:type="dxa"/>
            <w:tcBorders>
              <w:tl2br w:val="nil"/>
              <w:tr2bl w:val="nil"/>
            </w:tcBorders>
            <w:vAlign w:val="center"/>
          </w:tcPr>
          <w:p>
            <w:pPr>
              <w:jc w:val="center"/>
              <w:rPr>
                <w:bCs/>
                <w:sz w:val="24"/>
              </w:rPr>
            </w:pPr>
            <w:r>
              <w:rPr>
                <w:rFonts w:hint="eastAsia"/>
                <w:bCs/>
                <w:sz w:val="24"/>
              </w:rPr>
              <w:t>107.33</w:t>
            </w:r>
          </w:p>
        </w:tc>
        <w:tc>
          <w:tcPr>
            <w:tcW w:w="2126" w:type="dxa"/>
            <w:tcBorders>
              <w:tl2br w:val="nil"/>
              <w:tr2bl w:val="nil"/>
            </w:tcBorders>
            <w:vAlign w:val="center"/>
          </w:tcPr>
          <w:p>
            <w:pPr>
              <w:jc w:val="center"/>
              <w:rPr>
                <w:bCs/>
                <w:sz w:val="24"/>
              </w:rPr>
            </w:pPr>
            <w:r>
              <w:rPr>
                <w:rFonts w:hint="eastAsia"/>
                <w:bCs/>
                <w:sz w:val="24"/>
              </w:rPr>
              <w:t>107.33</w:t>
            </w:r>
          </w:p>
        </w:tc>
        <w:tc>
          <w:tcPr>
            <w:tcW w:w="1702" w:type="dxa"/>
            <w:tcBorders>
              <w:tl2br w:val="nil"/>
              <w:tr2bl w:val="nil"/>
            </w:tcBorders>
            <w:vAlign w:val="center"/>
          </w:tcPr>
          <w:p>
            <w:pPr>
              <w:jc w:val="center"/>
              <w:rPr>
                <w:bCs/>
                <w:sz w:val="24"/>
              </w:rPr>
            </w:pPr>
          </w:p>
        </w:tc>
      </w:tr>
      <w:tr>
        <w:trPr>
          <w:trHeight w:val="293"/>
        </w:trPr>
        <w:tc>
          <w:tcPr>
            <w:tcW w:w="1456" w:type="dxa"/>
            <w:tcBorders>
              <w:tl2br w:val="nil"/>
              <w:tr2bl w:val="nil"/>
            </w:tcBorders>
            <w:vAlign w:val="center"/>
          </w:tcPr>
          <w:p>
            <w:pPr>
              <w:jc w:val="left"/>
              <w:rPr>
                <w:rFonts w:ascii="宋体" w:cs="宋体"/>
                <w:sz w:val="24"/>
              </w:rPr>
            </w:pPr>
            <w:r>
              <w:rPr>
                <w:rFonts w:hint="eastAsia"/>
                <w:sz w:val="24"/>
              </w:rPr>
              <w:t>30108</w:t>
            </w:r>
          </w:p>
        </w:tc>
        <w:tc>
          <w:tcPr>
            <w:tcW w:w="4665" w:type="dxa"/>
            <w:tcBorders>
              <w:tl2br w:val="nil"/>
              <w:tr2bl w:val="nil"/>
            </w:tcBorders>
            <w:vAlign w:val="center"/>
          </w:tcPr>
          <w:p>
            <w:pPr>
              <w:jc w:val="left"/>
              <w:rPr>
                <w:rFonts w:ascii="宋体" w:cs="宋体"/>
                <w:sz w:val="24"/>
              </w:rPr>
            </w:pPr>
            <w:r>
              <w:rPr>
                <w:rFonts w:hint="eastAsia"/>
                <w:sz w:val="24"/>
              </w:rPr>
              <w:t>机关事业单位基本养老保险缴费</w:t>
            </w:r>
          </w:p>
        </w:tc>
        <w:tc>
          <w:tcPr>
            <w:tcW w:w="2126" w:type="dxa"/>
            <w:tcBorders>
              <w:tl2br w:val="nil"/>
              <w:tr2bl w:val="nil"/>
            </w:tcBorders>
            <w:vAlign w:val="center"/>
          </w:tcPr>
          <w:p>
            <w:pPr>
              <w:jc w:val="center"/>
              <w:rPr>
                <w:bCs/>
                <w:sz w:val="24"/>
              </w:rPr>
            </w:pPr>
            <w:r>
              <w:rPr>
                <w:rFonts w:hint="eastAsia"/>
                <w:bCs/>
                <w:sz w:val="24"/>
              </w:rPr>
              <w:t>33.18</w:t>
            </w:r>
          </w:p>
        </w:tc>
        <w:tc>
          <w:tcPr>
            <w:tcW w:w="2126" w:type="dxa"/>
            <w:tcBorders>
              <w:tl2br w:val="nil"/>
              <w:tr2bl w:val="nil"/>
            </w:tcBorders>
            <w:vAlign w:val="center"/>
          </w:tcPr>
          <w:p>
            <w:pPr>
              <w:jc w:val="center"/>
              <w:rPr>
                <w:bCs/>
                <w:sz w:val="24"/>
              </w:rPr>
            </w:pPr>
            <w:r>
              <w:rPr>
                <w:rFonts w:hint="eastAsia"/>
                <w:bCs/>
                <w:sz w:val="24"/>
              </w:rPr>
              <w:t>33.18</w:t>
            </w:r>
          </w:p>
        </w:tc>
        <w:tc>
          <w:tcPr>
            <w:tcW w:w="1702" w:type="dxa"/>
            <w:tcBorders>
              <w:tl2br w:val="nil"/>
              <w:tr2bl w:val="nil"/>
            </w:tcBorders>
            <w:vAlign w:val="center"/>
          </w:tcPr>
          <w:p>
            <w:pPr>
              <w:jc w:val="center"/>
              <w:rPr>
                <w:bCs/>
                <w:sz w:val="24"/>
              </w:rPr>
            </w:pPr>
          </w:p>
        </w:tc>
      </w:tr>
      <w:tr>
        <w:trPr>
          <w:trHeight w:val="289"/>
        </w:trPr>
        <w:tc>
          <w:tcPr>
            <w:tcW w:w="1456" w:type="dxa"/>
            <w:tcBorders>
              <w:tl2br w:val="nil"/>
              <w:tr2bl w:val="nil"/>
            </w:tcBorders>
            <w:vAlign w:val="center"/>
          </w:tcPr>
          <w:p>
            <w:pPr>
              <w:jc w:val="left"/>
              <w:rPr>
                <w:rFonts w:ascii="宋体" w:cs="宋体"/>
                <w:sz w:val="24"/>
              </w:rPr>
            </w:pPr>
            <w:r>
              <w:rPr>
                <w:rFonts w:hint="eastAsia"/>
                <w:sz w:val="24"/>
              </w:rPr>
              <w:t>30109</w:t>
            </w:r>
          </w:p>
        </w:tc>
        <w:tc>
          <w:tcPr>
            <w:tcW w:w="4665" w:type="dxa"/>
            <w:tcBorders>
              <w:tl2br w:val="nil"/>
              <w:tr2bl w:val="nil"/>
            </w:tcBorders>
            <w:vAlign w:val="center"/>
          </w:tcPr>
          <w:p>
            <w:pPr>
              <w:jc w:val="left"/>
              <w:rPr>
                <w:rFonts w:ascii="宋体" w:cs="宋体"/>
                <w:sz w:val="24"/>
              </w:rPr>
            </w:pPr>
            <w:r>
              <w:rPr>
                <w:rFonts w:hint="eastAsia"/>
                <w:sz w:val="24"/>
              </w:rPr>
              <w:t>职业年金缴费</w:t>
            </w:r>
          </w:p>
        </w:tc>
        <w:tc>
          <w:tcPr>
            <w:tcW w:w="2126" w:type="dxa"/>
            <w:tcBorders>
              <w:tl2br w:val="nil"/>
              <w:tr2bl w:val="nil"/>
            </w:tcBorders>
            <w:vAlign w:val="center"/>
          </w:tcPr>
          <w:p>
            <w:pPr>
              <w:jc w:val="center"/>
              <w:rPr>
                <w:bCs/>
                <w:sz w:val="24"/>
              </w:rPr>
            </w:pPr>
            <w:r>
              <w:rPr>
                <w:rFonts w:hint="eastAsia"/>
                <w:bCs/>
                <w:sz w:val="24"/>
              </w:rPr>
              <w:t>16.59</w:t>
            </w:r>
          </w:p>
        </w:tc>
        <w:tc>
          <w:tcPr>
            <w:tcW w:w="2126" w:type="dxa"/>
            <w:tcBorders>
              <w:tl2br w:val="nil"/>
              <w:tr2bl w:val="nil"/>
            </w:tcBorders>
            <w:vAlign w:val="center"/>
          </w:tcPr>
          <w:p>
            <w:pPr>
              <w:jc w:val="center"/>
              <w:rPr>
                <w:bCs/>
                <w:sz w:val="24"/>
              </w:rPr>
            </w:pPr>
            <w:r>
              <w:rPr>
                <w:rFonts w:hint="eastAsia"/>
                <w:bCs/>
                <w:sz w:val="24"/>
              </w:rPr>
              <w:t>16.59</w:t>
            </w:r>
          </w:p>
        </w:tc>
        <w:tc>
          <w:tcPr>
            <w:tcW w:w="1702" w:type="dxa"/>
            <w:tcBorders>
              <w:tl2br w:val="nil"/>
              <w:tr2bl w:val="nil"/>
            </w:tcBorders>
            <w:vAlign w:val="center"/>
          </w:tcPr>
          <w:p>
            <w:pPr>
              <w:jc w:val="center"/>
              <w:rPr>
                <w:bCs/>
                <w:sz w:val="24"/>
              </w:rPr>
            </w:pP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30113</w:t>
            </w:r>
          </w:p>
        </w:tc>
        <w:tc>
          <w:tcPr>
            <w:tcW w:w="4665" w:type="dxa"/>
            <w:tcBorders>
              <w:tl2br w:val="nil"/>
              <w:tr2bl w:val="nil"/>
            </w:tcBorders>
            <w:vAlign w:val="center"/>
          </w:tcPr>
          <w:p>
            <w:pPr>
              <w:jc w:val="left"/>
              <w:rPr>
                <w:rFonts w:ascii="宋体" w:cs="宋体"/>
                <w:sz w:val="24"/>
              </w:rPr>
            </w:pPr>
            <w:r>
              <w:rPr>
                <w:rFonts w:hint="eastAsia"/>
                <w:sz w:val="24"/>
              </w:rPr>
              <w:t>住房公积金</w:t>
            </w:r>
          </w:p>
        </w:tc>
        <w:tc>
          <w:tcPr>
            <w:tcW w:w="2126" w:type="dxa"/>
            <w:tcBorders>
              <w:tl2br w:val="nil"/>
              <w:tr2bl w:val="nil"/>
            </w:tcBorders>
            <w:vAlign w:val="center"/>
          </w:tcPr>
          <w:p>
            <w:pPr>
              <w:jc w:val="center"/>
              <w:rPr>
                <w:bCs/>
                <w:sz w:val="24"/>
              </w:rPr>
            </w:pPr>
            <w:r>
              <w:rPr>
                <w:rFonts w:hint="eastAsia"/>
                <w:bCs/>
                <w:sz w:val="24"/>
              </w:rPr>
              <w:t>38.37</w:t>
            </w:r>
          </w:p>
        </w:tc>
        <w:tc>
          <w:tcPr>
            <w:tcW w:w="2126" w:type="dxa"/>
            <w:tcBorders>
              <w:tl2br w:val="nil"/>
              <w:tr2bl w:val="nil"/>
            </w:tcBorders>
            <w:vAlign w:val="center"/>
          </w:tcPr>
          <w:p>
            <w:pPr>
              <w:jc w:val="center"/>
              <w:rPr>
                <w:bCs/>
                <w:sz w:val="24"/>
              </w:rPr>
            </w:pPr>
            <w:r>
              <w:rPr>
                <w:rFonts w:hint="eastAsia"/>
                <w:bCs/>
                <w:sz w:val="24"/>
              </w:rPr>
              <w:t>38.37</w:t>
            </w:r>
          </w:p>
        </w:tc>
        <w:tc>
          <w:tcPr>
            <w:tcW w:w="1702" w:type="dxa"/>
            <w:tcBorders>
              <w:tl2br w:val="nil"/>
              <w:tr2bl w:val="nil"/>
            </w:tcBorders>
            <w:vAlign w:val="center"/>
          </w:tcPr>
          <w:p>
            <w:pPr>
              <w:jc w:val="center"/>
              <w:rPr>
                <w:bCs/>
                <w:sz w:val="24"/>
              </w:rPr>
            </w:pPr>
          </w:p>
        </w:tc>
      </w:tr>
      <w:tr>
        <w:trPr>
          <w:trHeight w:val="292"/>
        </w:trPr>
        <w:tc>
          <w:tcPr>
            <w:tcW w:w="1456" w:type="dxa"/>
            <w:tcBorders>
              <w:tl2br w:val="nil"/>
              <w:tr2bl w:val="nil"/>
            </w:tcBorders>
            <w:vAlign w:val="center"/>
          </w:tcPr>
          <w:p>
            <w:pPr>
              <w:jc w:val="left"/>
              <w:rPr>
                <w:rFonts w:ascii="宋体" w:cs="宋体"/>
                <w:b/>
                <w:bCs/>
                <w:sz w:val="24"/>
              </w:rPr>
            </w:pPr>
            <w:r>
              <w:rPr>
                <w:rFonts w:hint="eastAsia"/>
                <w:b/>
                <w:bCs/>
                <w:sz w:val="24"/>
              </w:rPr>
              <w:t>302</w:t>
            </w:r>
          </w:p>
        </w:tc>
        <w:tc>
          <w:tcPr>
            <w:tcW w:w="4665" w:type="dxa"/>
            <w:tcBorders>
              <w:tl2br w:val="nil"/>
              <w:tr2bl w:val="nil"/>
            </w:tcBorders>
            <w:vAlign w:val="center"/>
          </w:tcPr>
          <w:p>
            <w:pPr>
              <w:jc w:val="left"/>
              <w:rPr>
                <w:rFonts w:ascii="宋体" w:cs="宋体"/>
                <w:b/>
                <w:bCs/>
                <w:sz w:val="24"/>
              </w:rPr>
            </w:pPr>
            <w:r>
              <w:rPr>
                <w:rFonts w:hint="eastAsia"/>
                <w:b/>
                <w:bCs/>
                <w:sz w:val="24"/>
              </w:rPr>
              <w:t>商品和服务支出</w:t>
            </w:r>
          </w:p>
        </w:tc>
        <w:tc>
          <w:tcPr>
            <w:tcW w:w="2126" w:type="dxa"/>
            <w:tcBorders>
              <w:tl2br w:val="nil"/>
              <w:tr2bl w:val="nil"/>
            </w:tcBorders>
            <w:vAlign w:val="center"/>
          </w:tcPr>
          <w:p>
            <w:pPr>
              <w:jc w:val="center"/>
              <w:rPr>
                <w:b/>
                <w:bCs/>
                <w:sz w:val="24"/>
              </w:rPr>
            </w:pPr>
            <w:r>
              <w:rPr>
                <w:rFonts w:hint="eastAsia"/>
                <w:b/>
                <w:bCs/>
                <w:sz w:val="24"/>
              </w:rPr>
              <w:t>68.10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
                <w:bCs/>
                <w:sz w:val="24"/>
              </w:rPr>
            </w:pPr>
            <w:r>
              <w:rPr>
                <w:rFonts w:hint="eastAsia"/>
                <w:b/>
                <w:bCs/>
                <w:sz w:val="24"/>
              </w:rPr>
              <w:t>68.10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30201</w:t>
            </w:r>
          </w:p>
        </w:tc>
        <w:tc>
          <w:tcPr>
            <w:tcW w:w="4665" w:type="dxa"/>
            <w:tcBorders>
              <w:tl2br w:val="nil"/>
              <w:tr2bl w:val="nil"/>
            </w:tcBorders>
            <w:vAlign w:val="center"/>
          </w:tcPr>
          <w:p>
            <w:pPr>
              <w:jc w:val="left"/>
              <w:rPr>
                <w:rFonts w:ascii="宋体" w:cs="宋体"/>
                <w:sz w:val="24"/>
              </w:rPr>
            </w:pPr>
            <w:r>
              <w:rPr>
                <w:rFonts w:hint="eastAsia"/>
                <w:sz w:val="24"/>
              </w:rPr>
              <w:t>办公费</w:t>
            </w:r>
          </w:p>
        </w:tc>
        <w:tc>
          <w:tcPr>
            <w:tcW w:w="2126" w:type="dxa"/>
            <w:tcBorders>
              <w:tl2br w:val="nil"/>
              <w:tr2bl w:val="nil"/>
            </w:tcBorders>
            <w:vAlign w:val="center"/>
          </w:tcPr>
          <w:p>
            <w:pPr>
              <w:jc w:val="center"/>
              <w:rPr>
                <w:bCs/>
                <w:sz w:val="24"/>
              </w:rPr>
            </w:pPr>
            <w:r>
              <w:rPr>
                <w:rFonts w:hint="eastAsia"/>
                <w:bCs/>
                <w:sz w:val="24"/>
              </w:rPr>
              <w:t>3.00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3.00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30202</w:t>
            </w:r>
          </w:p>
        </w:tc>
        <w:tc>
          <w:tcPr>
            <w:tcW w:w="4665" w:type="dxa"/>
            <w:tcBorders>
              <w:tl2br w:val="nil"/>
              <w:tr2bl w:val="nil"/>
            </w:tcBorders>
            <w:vAlign w:val="center"/>
          </w:tcPr>
          <w:p>
            <w:pPr>
              <w:jc w:val="left"/>
              <w:rPr>
                <w:rFonts w:ascii="宋体" w:cs="宋体"/>
                <w:sz w:val="24"/>
              </w:rPr>
            </w:pPr>
            <w:r>
              <w:rPr>
                <w:rFonts w:hint="eastAsia"/>
                <w:sz w:val="24"/>
              </w:rPr>
              <w:t>印刷费</w:t>
            </w:r>
          </w:p>
        </w:tc>
        <w:tc>
          <w:tcPr>
            <w:tcW w:w="2126" w:type="dxa"/>
            <w:tcBorders>
              <w:tl2br w:val="nil"/>
              <w:tr2bl w:val="nil"/>
            </w:tcBorders>
            <w:vAlign w:val="center"/>
          </w:tcPr>
          <w:p>
            <w:pPr>
              <w:jc w:val="center"/>
              <w:rPr>
                <w:bCs/>
                <w:sz w:val="24"/>
              </w:rPr>
            </w:pPr>
            <w:r>
              <w:rPr>
                <w:rFonts w:hint="eastAsia"/>
                <w:bCs/>
                <w:sz w:val="24"/>
              </w:rPr>
              <w:t>0.60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0.60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30205</w:t>
            </w:r>
          </w:p>
        </w:tc>
        <w:tc>
          <w:tcPr>
            <w:tcW w:w="4665" w:type="dxa"/>
            <w:tcBorders>
              <w:tl2br w:val="nil"/>
              <w:tr2bl w:val="nil"/>
            </w:tcBorders>
            <w:vAlign w:val="center"/>
          </w:tcPr>
          <w:p>
            <w:pPr>
              <w:jc w:val="left"/>
              <w:rPr>
                <w:rFonts w:ascii="宋体" w:cs="宋体"/>
                <w:sz w:val="24"/>
              </w:rPr>
            </w:pPr>
            <w:r>
              <w:rPr>
                <w:rFonts w:hint="eastAsia"/>
                <w:sz w:val="24"/>
              </w:rPr>
              <w:t>水费</w:t>
            </w:r>
          </w:p>
        </w:tc>
        <w:tc>
          <w:tcPr>
            <w:tcW w:w="2126" w:type="dxa"/>
            <w:tcBorders>
              <w:tl2br w:val="nil"/>
              <w:tr2bl w:val="nil"/>
            </w:tcBorders>
            <w:vAlign w:val="center"/>
          </w:tcPr>
          <w:p>
            <w:pPr>
              <w:jc w:val="center"/>
              <w:rPr>
                <w:bCs/>
                <w:sz w:val="24"/>
              </w:rPr>
            </w:pPr>
            <w:r>
              <w:rPr>
                <w:rFonts w:hint="eastAsia"/>
                <w:bCs/>
                <w:sz w:val="24"/>
              </w:rPr>
              <w:t>1.00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w:t>
            </w:r>
          </w:p>
        </w:tc>
      </w:tr>
      <w:tr>
        <w:trPr>
          <w:trHeight w:val="289"/>
        </w:trPr>
        <w:tc>
          <w:tcPr>
            <w:tcW w:w="1456" w:type="dxa"/>
            <w:tcBorders>
              <w:tl2br w:val="nil"/>
              <w:tr2bl w:val="nil"/>
            </w:tcBorders>
            <w:vAlign w:val="center"/>
          </w:tcPr>
          <w:p>
            <w:pPr>
              <w:jc w:val="left"/>
              <w:rPr>
                <w:rFonts w:ascii="宋体" w:cs="宋体"/>
                <w:sz w:val="24"/>
              </w:rPr>
            </w:pPr>
            <w:r>
              <w:rPr>
                <w:rFonts w:hint="eastAsia"/>
                <w:sz w:val="24"/>
              </w:rPr>
              <w:t>30206</w:t>
            </w:r>
          </w:p>
        </w:tc>
        <w:tc>
          <w:tcPr>
            <w:tcW w:w="4665" w:type="dxa"/>
            <w:tcBorders>
              <w:tl2br w:val="nil"/>
              <w:tr2bl w:val="nil"/>
            </w:tcBorders>
            <w:vAlign w:val="center"/>
          </w:tcPr>
          <w:p>
            <w:pPr>
              <w:jc w:val="left"/>
              <w:rPr>
                <w:rFonts w:ascii="宋体" w:cs="宋体"/>
                <w:sz w:val="24"/>
              </w:rPr>
            </w:pPr>
            <w:r>
              <w:rPr>
                <w:rFonts w:hint="eastAsia"/>
                <w:sz w:val="24"/>
              </w:rPr>
              <w:t>电费</w:t>
            </w:r>
          </w:p>
        </w:tc>
        <w:tc>
          <w:tcPr>
            <w:tcW w:w="2126" w:type="dxa"/>
            <w:tcBorders>
              <w:tl2br w:val="nil"/>
              <w:tr2bl w:val="nil"/>
            </w:tcBorders>
            <w:vAlign w:val="center"/>
          </w:tcPr>
          <w:p>
            <w:pPr>
              <w:jc w:val="center"/>
              <w:rPr>
                <w:bCs/>
                <w:sz w:val="24"/>
              </w:rPr>
            </w:pPr>
            <w:r>
              <w:rPr>
                <w:rFonts w:hint="eastAsia"/>
                <w:bCs/>
                <w:sz w:val="24"/>
              </w:rPr>
              <w:t>3.95</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3.95</w:t>
            </w:r>
          </w:p>
        </w:tc>
      </w:tr>
      <w:tr>
        <w:trPr>
          <w:trHeight w:val="289"/>
        </w:trPr>
        <w:tc>
          <w:tcPr>
            <w:tcW w:w="1456" w:type="dxa"/>
            <w:tcBorders>
              <w:tl2br w:val="nil"/>
              <w:tr2bl w:val="nil"/>
            </w:tcBorders>
            <w:vAlign w:val="center"/>
          </w:tcPr>
          <w:p>
            <w:pPr>
              <w:jc w:val="left"/>
              <w:rPr>
                <w:rFonts w:ascii="宋体" w:cs="宋体"/>
                <w:sz w:val="24"/>
              </w:rPr>
            </w:pPr>
            <w:r>
              <w:rPr>
                <w:rFonts w:hint="eastAsia"/>
                <w:sz w:val="24"/>
              </w:rPr>
              <w:t>30207</w:t>
            </w:r>
          </w:p>
        </w:tc>
        <w:tc>
          <w:tcPr>
            <w:tcW w:w="4665" w:type="dxa"/>
            <w:tcBorders>
              <w:tl2br w:val="nil"/>
              <w:tr2bl w:val="nil"/>
            </w:tcBorders>
            <w:vAlign w:val="center"/>
          </w:tcPr>
          <w:p>
            <w:pPr>
              <w:jc w:val="left"/>
              <w:rPr>
                <w:rFonts w:ascii="宋体" w:cs="宋体"/>
                <w:sz w:val="24"/>
              </w:rPr>
            </w:pPr>
            <w:r>
              <w:rPr>
                <w:rFonts w:hint="eastAsia"/>
                <w:sz w:val="24"/>
              </w:rPr>
              <w:t>邮电费</w:t>
            </w:r>
          </w:p>
        </w:tc>
        <w:tc>
          <w:tcPr>
            <w:tcW w:w="2126" w:type="dxa"/>
            <w:tcBorders>
              <w:tl2br w:val="nil"/>
              <w:tr2bl w:val="nil"/>
            </w:tcBorders>
            <w:vAlign w:val="center"/>
          </w:tcPr>
          <w:p>
            <w:pPr>
              <w:jc w:val="center"/>
              <w:rPr>
                <w:bCs/>
                <w:sz w:val="24"/>
              </w:rPr>
            </w:pPr>
            <w:r>
              <w:rPr>
                <w:rFonts w:hint="eastAsia"/>
                <w:bCs/>
                <w:sz w:val="24"/>
              </w:rPr>
              <w:t>0.06</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0.06</w:t>
            </w:r>
          </w:p>
        </w:tc>
      </w:tr>
      <w:tr>
        <w:trPr>
          <w:trHeight w:val="292"/>
        </w:trPr>
        <w:tc>
          <w:tcPr>
            <w:tcW w:w="1456" w:type="dxa"/>
            <w:tcBorders>
              <w:tl2br w:val="nil"/>
              <w:tr2bl w:val="nil"/>
            </w:tcBorders>
            <w:vAlign w:val="center"/>
          </w:tcPr>
          <w:p>
            <w:pPr>
              <w:jc w:val="left"/>
              <w:rPr>
                <w:rFonts w:ascii="宋体" w:cs="宋体"/>
                <w:sz w:val="24"/>
              </w:rPr>
            </w:pPr>
            <w:r>
              <w:rPr>
                <w:rFonts w:hint="eastAsia"/>
                <w:sz w:val="24"/>
              </w:rPr>
              <w:t>30209</w:t>
            </w:r>
          </w:p>
        </w:tc>
        <w:tc>
          <w:tcPr>
            <w:tcW w:w="4665" w:type="dxa"/>
            <w:tcBorders>
              <w:tl2br w:val="nil"/>
              <w:tr2bl w:val="nil"/>
            </w:tcBorders>
            <w:vAlign w:val="center"/>
          </w:tcPr>
          <w:p>
            <w:pPr>
              <w:jc w:val="left"/>
              <w:rPr>
                <w:rFonts w:ascii="宋体" w:cs="宋体"/>
                <w:sz w:val="24"/>
              </w:rPr>
            </w:pPr>
            <w:r>
              <w:rPr>
                <w:rFonts w:hint="eastAsia"/>
                <w:sz w:val="24"/>
              </w:rPr>
              <w:t>物业管理费</w:t>
            </w:r>
          </w:p>
        </w:tc>
        <w:tc>
          <w:tcPr>
            <w:tcW w:w="2126" w:type="dxa"/>
            <w:tcBorders>
              <w:tl2br w:val="nil"/>
              <w:tr2bl w:val="nil"/>
            </w:tcBorders>
            <w:vAlign w:val="center"/>
          </w:tcPr>
          <w:p>
            <w:pPr>
              <w:jc w:val="center"/>
              <w:rPr>
                <w:bCs/>
                <w:sz w:val="24"/>
              </w:rPr>
            </w:pPr>
            <w:r>
              <w:rPr>
                <w:rFonts w:hint="eastAsia"/>
                <w:bCs/>
                <w:sz w:val="24"/>
              </w:rPr>
              <w:t>10.00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30211</w:t>
            </w:r>
          </w:p>
        </w:tc>
        <w:tc>
          <w:tcPr>
            <w:tcW w:w="4665" w:type="dxa"/>
            <w:tcBorders>
              <w:tl2br w:val="nil"/>
              <w:tr2bl w:val="nil"/>
            </w:tcBorders>
            <w:vAlign w:val="center"/>
          </w:tcPr>
          <w:p>
            <w:pPr>
              <w:jc w:val="left"/>
              <w:rPr>
                <w:rFonts w:ascii="宋体" w:cs="宋体"/>
                <w:sz w:val="24"/>
              </w:rPr>
            </w:pPr>
            <w:r>
              <w:rPr>
                <w:rFonts w:hint="eastAsia"/>
                <w:sz w:val="24"/>
              </w:rPr>
              <w:t>差旅费</w:t>
            </w:r>
          </w:p>
        </w:tc>
        <w:tc>
          <w:tcPr>
            <w:tcW w:w="2126" w:type="dxa"/>
            <w:tcBorders>
              <w:tl2br w:val="nil"/>
              <w:tr2bl w:val="nil"/>
            </w:tcBorders>
            <w:vAlign w:val="center"/>
          </w:tcPr>
          <w:p>
            <w:pPr>
              <w:jc w:val="center"/>
              <w:rPr>
                <w:bCs/>
                <w:sz w:val="24"/>
              </w:rPr>
            </w:pPr>
            <w:r>
              <w:rPr>
                <w:rFonts w:hint="eastAsia"/>
                <w:bCs/>
                <w:sz w:val="24"/>
              </w:rPr>
              <w:t>8.84</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8.84</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30213</w:t>
            </w:r>
          </w:p>
        </w:tc>
        <w:tc>
          <w:tcPr>
            <w:tcW w:w="4665" w:type="dxa"/>
            <w:tcBorders>
              <w:tl2br w:val="nil"/>
              <w:tr2bl w:val="nil"/>
            </w:tcBorders>
            <w:vAlign w:val="center"/>
          </w:tcPr>
          <w:p>
            <w:pPr>
              <w:jc w:val="left"/>
              <w:rPr>
                <w:rFonts w:ascii="宋体" w:cs="宋体"/>
                <w:sz w:val="24"/>
              </w:rPr>
            </w:pPr>
            <w:r>
              <w:rPr>
                <w:rFonts w:hint="eastAsia"/>
                <w:sz w:val="24"/>
              </w:rPr>
              <w:t>维修（护）费</w:t>
            </w:r>
          </w:p>
        </w:tc>
        <w:tc>
          <w:tcPr>
            <w:tcW w:w="2126" w:type="dxa"/>
            <w:tcBorders>
              <w:tl2br w:val="nil"/>
              <w:tr2bl w:val="nil"/>
            </w:tcBorders>
            <w:vAlign w:val="center"/>
          </w:tcPr>
          <w:p>
            <w:pPr>
              <w:jc w:val="center"/>
              <w:rPr>
                <w:bCs/>
                <w:sz w:val="24"/>
              </w:rPr>
            </w:pPr>
            <w:r>
              <w:rPr>
                <w:rFonts w:hint="eastAsia"/>
                <w:bCs/>
                <w:sz w:val="24"/>
              </w:rPr>
              <w:t>10.00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30216</w:t>
            </w:r>
          </w:p>
        </w:tc>
        <w:tc>
          <w:tcPr>
            <w:tcW w:w="4665" w:type="dxa"/>
            <w:tcBorders>
              <w:tl2br w:val="nil"/>
              <w:tr2bl w:val="nil"/>
            </w:tcBorders>
            <w:vAlign w:val="center"/>
          </w:tcPr>
          <w:p>
            <w:pPr>
              <w:jc w:val="left"/>
              <w:rPr>
                <w:rFonts w:ascii="宋体" w:cs="宋体"/>
                <w:sz w:val="24"/>
              </w:rPr>
            </w:pPr>
            <w:r>
              <w:rPr>
                <w:rFonts w:hint="eastAsia"/>
                <w:sz w:val="24"/>
              </w:rPr>
              <w:t>培训费</w:t>
            </w:r>
          </w:p>
        </w:tc>
        <w:tc>
          <w:tcPr>
            <w:tcW w:w="2126" w:type="dxa"/>
            <w:tcBorders>
              <w:tl2br w:val="nil"/>
              <w:tr2bl w:val="nil"/>
            </w:tcBorders>
            <w:vAlign w:val="center"/>
          </w:tcPr>
          <w:p>
            <w:pPr>
              <w:jc w:val="center"/>
              <w:rPr>
                <w:bCs/>
                <w:sz w:val="24"/>
              </w:rPr>
            </w:pPr>
            <w:r>
              <w:rPr>
                <w:rFonts w:hint="eastAsia"/>
                <w:bCs/>
                <w:sz w:val="24"/>
              </w:rPr>
              <w:t>0.20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0.20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30217</w:t>
            </w:r>
          </w:p>
        </w:tc>
        <w:tc>
          <w:tcPr>
            <w:tcW w:w="4665" w:type="dxa"/>
            <w:tcBorders>
              <w:tl2br w:val="nil"/>
              <w:tr2bl w:val="nil"/>
            </w:tcBorders>
            <w:vAlign w:val="center"/>
          </w:tcPr>
          <w:p>
            <w:pPr>
              <w:jc w:val="left"/>
              <w:rPr>
                <w:rFonts w:ascii="宋体" w:cs="宋体"/>
                <w:sz w:val="24"/>
              </w:rPr>
            </w:pPr>
            <w:r>
              <w:rPr>
                <w:rFonts w:hint="eastAsia"/>
                <w:sz w:val="24"/>
              </w:rPr>
              <w:t>公务接待费</w:t>
            </w:r>
          </w:p>
        </w:tc>
        <w:tc>
          <w:tcPr>
            <w:tcW w:w="2126" w:type="dxa"/>
            <w:tcBorders>
              <w:tl2br w:val="nil"/>
              <w:tr2bl w:val="nil"/>
            </w:tcBorders>
            <w:vAlign w:val="center"/>
          </w:tcPr>
          <w:p>
            <w:pPr>
              <w:jc w:val="center"/>
              <w:rPr>
                <w:bCs/>
                <w:sz w:val="24"/>
              </w:rPr>
            </w:pPr>
            <w:r>
              <w:rPr>
                <w:rFonts w:hint="eastAsia"/>
                <w:bCs/>
                <w:sz w:val="24"/>
              </w:rPr>
              <w:t>0.45</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0.45</w:t>
            </w:r>
          </w:p>
        </w:tc>
      </w:tr>
      <w:tr>
        <w:trPr>
          <w:trHeight w:val="292"/>
        </w:trPr>
        <w:tc>
          <w:tcPr>
            <w:tcW w:w="1456" w:type="dxa"/>
            <w:tcBorders>
              <w:tl2br w:val="nil"/>
              <w:tr2bl w:val="nil"/>
            </w:tcBorders>
            <w:vAlign w:val="center"/>
          </w:tcPr>
          <w:p>
            <w:pPr>
              <w:jc w:val="left"/>
              <w:rPr>
                <w:rFonts w:ascii="宋体" w:cs="宋体"/>
                <w:sz w:val="24"/>
              </w:rPr>
            </w:pPr>
            <w:r>
              <w:rPr>
                <w:rFonts w:hint="eastAsia"/>
                <w:sz w:val="24"/>
              </w:rPr>
              <w:t>30218</w:t>
            </w:r>
          </w:p>
        </w:tc>
        <w:tc>
          <w:tcPr>
            <w:tcW w:w="4665" w:type="dxa"/>
            <w:tcBorders>
              <w:tl2br w:val="nil"/>
              <w:tr2bl w:val="nil"/>
            </w:tcBorders>
            <w:vAlign w:val="center"/>
          </w:tcPr>
          <w:p>
            <w:pPr>
              <w:jc w:val="left"/>
              <w:rPr>
                <w:rFonts w:ascii="宋体" w:cs="宋体"/>
                <w:sz w:val="24"/>
              </w:rPr>
            </w:pPr>
            <w:r>
              <w:rPr>
                <w:rFonts w:hint="eastAsia"/>
                <w:sz w:val="24"/>
              </w:rPr>
              <w:t>专用材料费</w:t>
            </w:r>
          </w:p>
        </w:tc>
        <w:tc>
          <w:tcPr>
            <w:tcW w:w="2126" w:type="dxa"/>
            <w:tcBorders>
              <w:tl2br w:val="nil"/>
              <w:tr2bl w:val="nil"/>
            </w:tcBorders>
            <w:vAlign w:val="center"/>
          </w:tcPr>
          <w:p>
            <w:pPr>
              <w:jc w:val="center"/>
              <w:rPr>
                <w:bCs/>
                <w:sz w:val="24"/>
              </w:rPr>
            </w:pPr>
            <w:r>
              <w:rPr>
                <w:rFonts w:hint="eastAsia"/>
                <w:bCs/>
                <w:sz w:val="24"/>
              </w:rPr>
              <w:t>10.00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30226</w:t>
            </w:r>
          </w:p>
        </w:tc>
        <w:tc>
          <w:tcPr>
            <w:tcW w:w="4665" w:type="dxa"/>
            <w:tcBorders>
              <w:tl2br w:val="nil"/>
              <w:tr2bl w:val="nil"/>
            </w:tcBorders>
            <w:vAlign w:val="center"/>
          </w:tcPr>
          <w:p>
            <w:pPr>
              <w:jc w:val="left"/>
              <w:rPr>
                <w:rFonts w:ascii="宋体" w:cs="宋体"/>
                <w:sz w:val="24"/>
              </w:rPr>
            </w:pPr>
            <w:r>
              <w:rPr>
                <w:rFonts w:hint="eastAsia"/>
                <w:sz w:val="24"/>
              </w:rPr>
              <w:t>劳务费</w:t>
            </w:r>
          </w:p>
        </w:tc>
        <w:tc>
          <w:tcPr>
            <w:tcW w:w="2126" w:type="dxa"/>
            <w:tcBorders>
              <w:tl2br w:val="nil"/>
              <w:tr2bl w:val="nil"/>
            </w:tcBorders>
            <w:vAlign w:val="center"/>
          </w:tcPr>
          <w:p>
            <w:pPr>
              <w:jc w:val="center"/>
              <w:rPr>
                <w:bCs/>
                <w:sz w:val="24"/>
              </w:rPr>
            </w:pPr>
            <w:r>
              <w:rPr>
                <w:rFonts w:hint="eastAsia"/>
                <w:bCs/>
                <w:sz w:val="24"/>
              </w:rPr>
              <w:t>1.00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30228</w:t>
            </w:r>
          </w:p>
        </w:tc>
        <w:tc>
          <w:tcPr>
            <w:tcW w:w="4665" w:type="dxa"/>
            <w:tcBorders>
              <w:tl2br w:val="nil"/>
              <w:tr2bl w:val="nil"/>
            </w:tcBorders>
            <w:vAlign w:val="center"/>
          </w:tcPr>
          <w:p>
            <w:pPr>
              <w:jc w:val="left"/>
              <w:rPr>
                <w:rFonts w:ascii="宋体" w:cs="宋体"/>
                <w:sz w:val="24"/>
              </w:rPr>
            </w:pPr>
            <w:r>
              <w:rPr>
                <w:rFonts w:hint="eastAsia"/>
                <w:sz w:val="24"/>
              </w:rPr>
              <w:t>工会经费</w:t>
            </w:r>
          </w:p>
        </w:tc>
        <w:tc>
          <w:tcPr>
            <w:tcW w:w="2126" w:type="dxa"/>
            <w:tcBorders>
              <w:tl2br w:val="nil"/>
              <w:tr2bl w:val="nil"/>
            </w:tcBorders>
            <w:vAlign w:val="center"/>
          </w:tcPr>
          <w:p>
            <w:pPr>
              <w:jc w:val="center"/>
              <w:rPr>
                <w:bCs/>
                <w:sz w:val="24"/>
              </w:rPr>
            </w:pPr>
            <w:r>
              <w:rPr>
                <w:rFonts w:hint="eastAsia"/>
                <w:bCs/>
                <w:sz w:val="24"/>
              </w:rPr>
              <w:t>4.00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4.00</w:t>
            </w:r>
          </w:p>
        </w:tc>
      </w:tr>
      <w:tr>
        <w:trPr>
          <w:trHeight w:val="290"/>
        </w:trPr>
        <w:tc>
          <w:tcPr>
            <w:tcW w:w="1456" w:type="dxa"/>
            <w:tcBorders>
              <w:tl2br w:val="nil"/>
              <w:tr2bl w:val="nil"/>
            </w:tcBorders>
            <w:vAlign w:val="center"/>
          </w:tcPr>
          <w:p>
            <w:pPr>
              <w:jc w:val="left"/>
              <w:rPr>
                <w:rFonts w:ascii="宋体" w:cs="宋体"/>
                <w:sz w:val="24"/>
              </w:rPr>
            </w:pPr>
            <w:r>
              <w:rPr>
                <w:rFonts w:hint="eastAsia"/>
                <w:sz w:val="24"/>
              </w:rPr>
              <w:t>30229</w:t>
            </w:r>
          </w:p>
        </w:tc>
        <w:tc>
          <w:tcPr>
            <w:tcW w:w="4665" w:type="dxa"/>
            <w:tcBorders>
              <w:tl2br w:val="nil"/>
              <w:tr2bl w:val="nil"/>
            </w:tcBorders>
            <w:vAlign w:val="center"/>
          </w:tcPr>
          <w:p>
            <w:pPr>
              <w:jc w:val="left"/>
              <w:rPr>
                <w:rFonts w:ascii="宋体" w:cs="宋体"/>
                <w:sz w:val="24"/>
              </w:rPr>
            </w:pPr>
            <w:r>
              <w:rPr>
                <w:rFonts w:hint="eastAsia"/>
                <w:sz w:val="24"/>
              </w:rPr>
              <w:t>福利费</w:t>
            </w:r>
          </w:p>
        </w:tc>
        <w:tc>
          <w:tcPr>
            <w:tcW w:w="2126" w:type="dxa"/>
            <w:tcBorders>
              <w:tl2br w:val="nil"/>
              <w:tr2bl w:val="nil"/>
            </w:tcBorders>
            <w:vAlign w:val="center"/>
          </w:tcPr>
          <w:p>
            <w:pPr>
              <w:jc w:val="center"/>
              <w:rPr>
                <w:bCs/>
                <w:sz w:val="24"/>
              </w:rPr>
            </w:pPr>
            <w:r>
              <w:rPr>
                <w:rFonts w:hint="eastAsia"/>
                <w:bCs/>
                <w:sz w:val="24"/>
              </w:rPr>
              <w:t>14.00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14.00</w:t>
            </w:r>
          </w:p>
        </w:tc>
      </w:tr>
      <w:tr>
        <w:trPr>
          <w:trHeight w:val="289"/>
        </w:trPr>
        <w:tc>
          <w:tcPr>
            <w:tcW w:w="1456" w:type="dxa"/>
            <w:tcBorders>
              <w:tl2br w:val="nil"/>
              <w:tr2bl w:val="nil"/>
            </w:tcBorders>
            <w:vAlign w:val="center"/>
          </w:tcPr>
          <w:p>
            <w:pPr>
              <w:jc w:val="left"/>
              <w:rPr>
                <w:sz w:val="24"/>
              </w:rPr>
            </w:pPr>
            <w:r>
              <w:rPr>
                <w:rFonts w:hint="eastAsia"/>
                <w:sz w:val="24"/>
              </w:rPr>
              <w:t>30299</w:t>
            </w:r>
          </w:p>
        </w:tc>
        <w:tc>
          <w:tcPr>
            <w:tcW w:w="4665" w:type="dxa"/>
            <w:tcBorders>
              <w:tl2br w:val="nil"/>
              <w:tr2bl w:val="nil"/>
            </w:tcBorders>
            <w:vAlign w:val="center"/>
          </w:tcPr>
          <w:p>
            <w:pPr>
              <w:jc w:val="left"/>
              <w:rPr>
                <w:sz w:val="24"/>
              </w:rPr>
            </w:pPr>
            <w:r>
              <w:rPr>
                <w:rFonts w:hint="eastAsia"/>
                <w:sz w:val="24"/>
              </w:rPr>
              <w:t>其他商品和服务支出</w:t>
            </w:r>
          </w:p>
        </w:tc>
        <w:tc>
          <w:tcPr>
            <w:tcW w:w="2126" w:type="dxa"/>
            <w:tcBorders>
              <w:tl2br w:val="nil"/>
              <w:tr2bl w:val="nil"/>
            </w:tcBorders>
            <w:vAlign w:val="center"/>
          </w:tcPr>
          <w:p>
            <w:pPr>
              <w:jc w:val="center"/>
              <w:rPr>
                <w:bCs/>
                <w:sz w:val="24"/>
              </w:rPr>
            </w:pPr>
            <w:r>
              <w:rPr>
                <w:rFonts w:hint="eastAsia"/>
                <w:bCs/>
                <w:sz w:val="24"/>
              </w:rPr>
              <w:t>1.00</w:t>
            </w:r>
          </w:p>
        </w:tc>
        <w:tc>
          <w:tcPr>
            <w:tcW w:w="2126" w:type="dxa"/>
            <w:tcBorders>
              <w:tl2br w:val="nil"/>
              <w:tr2bl w:val="nil"/>
            </w:tcBorders>
            <w:vAlign w:val="center"/>
          </w:tcPr>
          <w:p>
            <w:pPr>
              <w:jc w:val="center"/>
              <w:rPr>
                <w:bCs/>
                <w:sz w:val="24"/>
              </w:rPr>
            </w:pPr>
          </w:p>
        </w:tc>
        <w:tc>
          <w:tcPr>
            <w:tcW w:w="1702" w:type="dxa"/>
            <w:tcBorders>
              <w:tl2br w:val="nil"/>
              <w:tr2bl w:val="nil"/>
            </w:tcBorders>
            <w:vAlign w:val="center"/>
          </w:tcPr>
          <w:p>
            <w:pPr>
              <w:jc w:val="center"/>
              <w:rPr>
                <w:bCs/>
                <w:sz w:val="24"/>
              </w:rPr>
            </w:pPr>
            <w:r>
              <w:rPr>
                <w:rFonts w:hint="eastAsia"/>
                <w:bCs/>
                <w:sz w:val="24"/>
              </w:rPr>
              <w:t>1.00</w:t>
            </w:r>
          </w:p>
        </w:tc>
      </w:tr>
      <w:tr>
        <w:trPr>
          <w:trHeight w:val="291"/>
        </w:trPr>
        <w:tc>
          <w:tcPr>
            <w:tcW w:w="1456" w:type="dxa"/>
            <w:tcBorders>
              <w:tl2br w:val="nil"/>
              <w:tr2bl w:val="nil"/>
            </w:tcBorders>
            <w:vAlign w:val="center"/>
          </w:tcPr>
          <w:p>
            <w:pPr>
              <w:jc w:val="center"/>
              <w:rPr>
                <w:rFonts w:ascii="宋体" w:cs="宋体"/>
                <w:sz w:val="24"/>
              </w:rPr>
            </w:pPr>
          </w:p>
        </w:tc>
        <w:tc>
          <w:tcPr>
            <w:tcW w:w="4665" w:type="dxa"/>
            <w:tcBorders>
              <w:tl2br w:val="nil"/>
              <w:tr2bl w:val="nil"/>
            </w:tcBorders>
            <w:vAlign w:val="center"/>
          </w:tcPr>
          <w:p>
            <w:pPr>
              <w:jc w:val="center"/>
              <w:rPr>
                <w:rFonts w:ascii="宋体" w:cs="宋体"/>
                <w:b/>
                <w:bCs/>
                <w:sz w:val="24"/>
              </w:rPr>
            </w:pPr>
            <w:r>
              <w:rPr>
                <w:rFonts w:hint="eastAsia"/>
                <w:b/>
                <w:bCs/>
                <w:sz w:val="24"/>
              </w:rPr>
              <w:t>合        计</w:t>
            </w:r>
          </w:p>
        </w:tc>
        <w:tc>
          <w:tcPr>
            <w:tcW w:w="2126" w:type="dxa"/>
            <w:tcBorders>
              <w:tl2br w:val="nil"/>
              <w:tr2bl w:val="nil"/>
            </w:tcBorders>
            <w:vAlign w:val="center"/>
          </w:tcPr>
          <w:p>
            <w:pPr>
              <w:jc w:val="center"/>
              <w:rPr>
                <w:b/>
                <w:bCs/>
                <w:sz w:val="24"/>
              </w:rPr>
            </w:pPr>
            <w:r>
              <w:rPr>
                <w:rFonts w:hint="eastAsia"/>
                <w:b/>
                <w:bCs/>
                <w:sz w:val="24"/>
              </w:rPr>
              <w:t>348.05</w:t>
            </w:r>
          </w:p>
        </w:tc>
        <w:tc>
          <w:tcPr>
            <w:tcW w:w="2126" w:type="dxa"/>
            <w:tcBorders>
              <w:tl2br w:val="nil"/>
              <w:tr2bl w:val="nil"/>
            </w:tcBorders>
            <w:vAlign w:val="center"/>
          </w:tcPr>
          <w:p>
            <w:pPr>
              <w:jc w:val="center"/>
              <w:rPr>
                <w:b/>
                <w:bCs/>
                <w:sz w:val="24"/>
              </w:rPr>
            </w:pPr>
            <w:r>
              <w:rPr>
                <w:rFonts w:hint="eastAsia"/>
                <w:b/>
                <w:bCs/>
                <w:sz w:val="24"/>
              </w:rPr>
              <w:t>279.95</w:t>
            </w:r>
          </w:p>
        </w:tc>
        <w:tc>
          <w:tcPr>
            <w:tcW w:w="1702" w:type="dxa"/>
            <w:tcBorders>
              <w:tl2br w:val="nil"/>
              <w:tr2bl w:val="nil"/>
            </w:tcBorders>
            <w:vAlign w:val="center"/>
          </w:tcPr>
          <w:p>
            <w:pPr>
              <w:jc w:val="center"/>
              <w:rPr>
                <w:b/>
                <w:bCs/>
                <w:sz w:val="24"/>
              </w:rPr>
            </w:pPr>
            <w:r>
              <w:rPr>
                <w:rFonts w:hint="eastAsia"/>
                <w:b/>
                <w:bCs/>
                <w:sz w:val="24"/>
              </w:rPr>
              <w:t>68.10</w:t>
            </w:r>
          </w:p>
        </w:tc>
      </w:tr>
    </w:tbl>
    <w:p>
      <w:pPr>
        <w:pStyle w:val="548"/>
        <w:jc w:val="center"/>
        <w:rPr>
          <w:rFonts w:ascii="Times New Roman" w:eastAsia="宋体" w:hAnsi="Times New Roman"/>
          <w:color w:val="auto"/>
        </w:rPr>
      </w:pPr>
    </w:p>
    <w:p>
      <w:pPr>
        <w:pStyle w:val="549"/>
        <w:rPr>
          <w:rFonts w:ascii="Times New Roman" w:eastAsia="宋体" w:hAnsi="Times New Roman"/>
          <w:color w:val="auto"/>
        </w:rPr>
        <w:sectPr>
          <w:pgSz w:w="16840" w:h="11907" w:orient="landscape"/>
          <w:pgMar w:top="933" w:right="563" w:bottom="934" w:left="0" w:header="0" w:footer="0" w:gutter="0"/>
          <w:docGrid w:linePitch="285" w:charSpace="0"/>
        </w:sectPr>
      </w:pPr>
    </w:p>
    <w:p>
      <w:pPr>
        <w:pStyle w:val="527"/>
        <w:jc w:val="right"/>
        <w:rPr>
          <w:rFonts w:ascii="黑体" w:eastAsia="黑体" w:cs="黑体"/>
          <w:snapToGrid w:val="0"/>
          <w:sz w:val="20"/>
          <w:szCs w:val="20"/>
        </w:rPr>
      </w:pPr>
    </w:p>
    <w:p>
      <w:pPr>
        <w:pStyle w:val="527"/>
        <w:jc w:val="right"/>
        <w:rPr>
          <w:rFonts w:ascii="黑体" w:eastAsia="黑体" w:cs="黑体"/>
          <w:snapToGrid w:val="0"/>
          <w:sz w:val="20"/>
          <w:szCs w:val="20"/>
        </w:rPr>
      </w:pPr>
    </w:p>
    <w:p>
      <w:pPr>
        <w:pStyle w:val="527"/>
        <w:jc w:val="right"/>
        <w:rPr>
          <w:rFonts w:ascii="黑体" w:eastAsia="黑体" w:cs="黑体"/>
          <w:snapToGrid w:val="0"/>
          <w:sz w:val="20"/>
          <w:szCs w:val="20"/>
        </w:rPr>
      </w:pPr>
    </w:p>
    <w:p>
      <w:pPr>
        <w:pStyle w:val="527"/>
        <w:jc w:val="right"/>
        <w:rPr>
          <w:rFonts w:ascii="黑体" w:eastAsia="黑体" w:cs="黑体"/>
          <w:snapToGrid w:val="0"/>
          <w:sz w:val="20"/>
          <w:szCs w:val="20"/>
        </w:rPr>
      </w:pPr>
    </w:p>
    <w:p>
      <w:pPr>
        <w:pStyle w:val="527"/>
        <w:jc w:val="right"/>
        <w:rPr>
          <w:rFonts w:ascii="黑体" w:eastAsia="黑体" w:cs="黑体"/>
          <w:snapToGrid w:val="0"/>
          <w:sz w:val="20"/>
          <w:szCs w:val="20"/>
        </w:rPr>
      </w:pPr>
    </w:p>
    <w:p>
      <w:pPr>
        <w:pStyle w:val="527"/>
        <w:jc w:val="right"/>
        <w:rPr>
          <w:rFonts w:ascii="黑体" w:eastAsia="黑体" w:cs="黑体"/>
          <w:b/>
          <w:snapToGrid w:val="0"/>
          <w:sz w:val="20"/>
          <w:szCs w:val="20"/>
        </w:rPr>
      </w:pPr>
      <w:r>
        <w:rPr>
          <w:rFonts w:ascii="黑体" w:eastAsia="黑体" w:cs="黑体" w:hint="eastAsia"/>
          <w:b/>
          <w:snapToGrid w:val="0"/>
          <w:sz w:val="20"/>
          <w:szCs w:val="20"/>
        </w:rPr>
        <w:t>部门公开表 7</w:t>
      </w:r>
    </w:p>
    <w:p>
      <w:pPr>
        <w:pStyle w:val="527"/>
        <w:jc w:val="center"/>
        <w:rPr>
          <w:rFonts w:cs="Microsoft JhengHei"/>
          <w:b/>
          <w:sz w:val="36"/>
          <w:szCs w:val="36"/>
        </w:rPr>
      </w:pPr>
      <w:r>
        <w:rPr>
          <w:rFonts w:cs="Microsoft JhengHei" w:hint="eastAsia"/>
          <w:b/>
          <w:snapToGrid w:val="0"/>
          <w:sz w:val="36"/>
          <w:szCs w:val="36"/>
        </w:rPr>
        <w:t>政府性基金预算支出表</w:t>
      </w:r>
    </w:p>
    <w:p>
      <w:pPr>
        <w:pStyle w:val="556"/>
        <w:spacing w:before="125" w:line="180" w:lineRule="auto"/>
        <w:ind w:firstLine="12184"/>
        <w:jc w:val="right"/>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1"/>
          <w:sz w:val="20"/>
          <w:szCs w:val="20"/>
        </w:rPr>
        <w:t>单位:万元</w:t>
      </w:r>
    </w:p>
    <w:p>
      <w:pPr>
        <w:pStyle w:val="556"/>
        <w:spacing w:line="71" w:lineRule="exact"/>
        <w:rPr>
          <w:rFonts w:ascii="Times New Roman" w:eastAsia="宋体" w:hAnsi="Times New Roman"/>
          <w:color w:val="auto"/>
        </w:rPr>
      </w:pPr>
    </w:p>
    <w:tbl>
      <w:tblPr>
        <w:jc w:val="cent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l2br w:val="nil"/>
              <w:tr2bl w:val="nil"/>
            </w:tcBorders>
          </w:tcPr>
          <w:p>
            <w:pPr>
              <w:pStyle w:val="556"/>
              <w:spacing w:line="372" w:lineRule="auto"/>
              <w:rPr>
                <w:rFonts w:ascii="Times New Roman" w:eastAsia="宋体" w:hAnsi="Times New Roman"/>
                <w:color w:val="auto"/>
                <w:sz w:val="24"/>
                <w:szCs w:val="24"/>
              </w:rPr>
            </w:pPr>
          </w:p>
          <w:p>
            <w:pPr>
              <w:pStyle w:val="556"/>
              <w:spacing w:before="121" w:line="180" w:lineRule="auto"/>
              <w:ind w:firstLine="760"/>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科目编码</w:t>
            </w:r>
          </w:p>
        </w:tc>
        <w:tc>
          <w:tcPr>
            <w:tcW w:w="2622" w:type="dxa"/>
            <w:vMerge w:val="restart"/>
            <w:tcBorders>
              <w:bottom w:val="nil"/>
              <w:tl2br w:val="nil"/>
              <w:tr2bl w:val="nil"/>
            </w:tcBorders>
          </w:tcPr>
          <w:p>
            <w:pPr>
              <w:pStyle w:val="556"/>
              <w:spacing w:line="372" w:lineRule="auto"/>
              <w:rPr>
                <w:rFonts w:ascii="Times New Roman" w:eastAsia="宋体" w:hAnsi="Times New Roman"/>
                <w:color w:val="auto"/>
                <w:sz w:val="24"/>
                <w:szCs w:val="24"/>
              </w:rPr>
            </w:pPr>
          </w:p>
          <w:p>
            <w:pPr>
              <w:pStyle w:val="556"/>
              <w:spacing w:before="121" w:line="180" w:lineRule="auto"/>
              <w:ind w:firstLine="754"/>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科目名称</w:t>
            </w:r>
          </w:p>
        </w:tc>
        <w:tc>
          <w:tcPr>
            <w:tcW w:w="7878" w:type="dxa"/>
            <w:gridSpan w:val="3"/>
            <w:tcBorders>
              <w:tl2br w:val="nil"/>
              <w:tr2bl w:val="nil"/>
            </w:tcBorders>
            <w:vAlign w:val="center"/>
          </w:tcPr>
          <w:p>
            <w:pPr>
              <w:pStyle w:val="556"/>
              <w:spacing w:before="166" w:line="180" w:lineRule="auto"/>
              <w:jc w:val="center"/>
              <w:rPr>
                <w:rFonts w:ascii="Times New Roman" w:eastAsia="宋体" w:cs="Microsoft JhengHei" w:hAnsi="Times New Roman"/>
                <w:color w:val="auto"/>
                <w:sz w:val="24"/>
                <w:szCs w:val="24"/>
              </w:rPr>
            </w:pPr>
            <w:r>
              <w:rPr>
                <w:rFonts w:ascii="Times New Roman" w:eastAsia="宋体" w:cs="Times New Roman" w:hAnsi="Times New Roman"/>
                <w:color w:val="auto"/>
                <w:spacing w:val="-2"/>
                <w:sz w:val="24"/>
                <w:szCs w:val="24"/>
              </w:rPr>
              <w:t>2025</w:t>
            </w:r>
            <w:r>
              <w:rPr>
                <w:rFonts w:ascii="Times New Roman" w:eastAsia="宋体" w:cs="Microsoft JhengHei" w:hAnsi="Times New Roman" w:hint="eastAsia"/>
                <w:color w:val="auto"/>
                <w:spacing w:val="-2"/>
                <w:sz w:val="24"/>
                <w:szCs w:val="24"/>
              </w:rPr>
              <w:t>年政府性基金预算支出</w:t>
            </w:r>
          </w:p>
        </w:tc>
      </w:tr>
      <w:tr>
        <w:trPr>
          <w:trHeight w:val="649"/>
        </w:trPr>
        <w:tc>
          <w:tcPr>
            <w:tcW w:w="2631" w:type="dxa"/>
            <w:vMerge/>
            <w:tcBorders>
              <w:top w:val="nil"/>
              <w:tl2br w:val="nil"/>
              <w:tr2bl w:val="nil"/>
            </w:tcBorders>
          </w:tcPr>
          <w:p/>
        </w:tc>
        <w:tc>
          <w:tcPr>
            <w:tcW w:w="2622" w:type="dxa"/>
            <w:vMerge/>
            <w:tcBorders>
              <w:top w:val="nil"/>
              <w:tl2br w:val="nil"/>
              <w:tr2bl w:val="nil"/>
            </w:tcBorders>
          </w:tcPr>
          <w:p/>
        </w:tc>
        <w:tc>
          <w:tcPr>
            <w:tcW w:w="2624"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3"/>
                <w:sz w:val="24"/>
                <w:szCs w:val="24"/>
              </w:rPr>
              <w:t>合计</w:t>
            </w:r>
          </w:p>
        </w:tc>
        <w:tc>
          <w:tcPr>
            <w:tcW w:w="2623"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基本支出</w:t>
            </w:r>
          </w:p>
        </w:tc>
        <w:tc>
          <w:tcPr>
            <w:tcW w:w="2631"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项目支出</w:t>
            </w:r>
          </w:p>
        </w:tc>
      </w:tr>
      <w:tr>
        <w:trPr>
          <w:trHeight w:val="529"/>
        </w:trPr>
        <w:tc>
          <w:tcPr>
            <w:tcW w:w="2631" w:type="dxa"/>
            <w:tcBorders>
              <w:tl2br w:val="nil"/>
              <w:tr2bl w:val="nil"/>
            </w:tcBorders>
          </w:tcPr>
          <w:p>
            <w:pPr>
              <w:pStyle w:val="556"/>
              <w:rPr>
                <w:rFonts w:ascii="Times New Roman" w:eastAsia="宋体" w:hAnsi="Times New Roman"/>
                <w:color w:val="auto"/>
                <w:sz w:val="24"/>
                <w:szCs w:val="24"/>
              </w:rPr>
            </w:pPr>
          </w:p>
        </w:tc>
        <w:tc>
          <w:tcPr>
            <w:tcW w:w="2622" w:type="dxa"/>
            <w:tcBorders>
              <w:tl2br w:val="nil"/>
              <w:tr2bl w:val="nil"/>
            </w:tcBorders>
          </w:tcPr>
          <w:p>
            <w:pPr>
              <w:pStyle w:val="556"/>
              <w:rPr>
                <w:rFonts w:ascii="Times New Roman" w:eastAsia="宋体" w:hAnsi="Times New Roman"/>
                <w:color w:val="auto"/>
                <w:sz w:val="24"/>
                <w:szCs w:val="24"/>
              </w:rPr>
            </w:pPr>
          </w:p>
        </w:tc>
        <w:tc>
          <w:tcPr>
            <w:tcW w:w="2624" w:type="dxa"/>
            <w:tcBorders>
              <w:tl2br w:val="nil"/>
              <w:tr2bl w:val="nil"/>
            </w:tcBorders>
          </w:tcPr>
          <w:p>
            <w:pPr>
              <w:pStyle w:val="556"/>
              <w:rPr>
                <w:rFonts w:ascii="Times New Roman" w:eastAsia="宋体" w:hAnsi="Times New Roman"/>
                <w:color w:val="auto"/>
                <w:sz w:val="24"/>
                <w:szCs w:val="24"/>
              </w:rPr>
            </w:pPr>
          </w:p>
        </w:tc>
        <w:tc>
          <w:tcPr>
            <w:tcW w:w="2623" w:type="dxa"/>
            <w:tcBorders>
              <w:tl2br w:val="nil"/>
              <w:tr2bl w:val="nil"/>
            </w:tcBorders>
          </w:tcPr>
          <w:p>
            <w:pPr>
              <w:pStyle w:val="556"/>
              <w:rPr>
                <w:rFonts w:ascii="Times New Roman" w:eastAsia="宋体" w:hAnsi="Times New Roman"/>
                <w:color w:val="auto"/>
                <w:sz w:val="24"/>
                <w:szCs w:val="24"/>
              </w:rPr>
            </w:pPr>
          </w:p>
        </w:tc>
        <w:tc>
          <w:tcPr>
            <w:tcW w:w="2631" w:type="dxa"/>
            <w:tcBorders>
              <w:tl2br w:val="nil"/>
              <w:tr2bl w:val="nil"/>
            </w:tcBorders>
          </w:tcPr>
          <w:p>
            <w:pPr>
              <w:pStyle w:val="556"/>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6"/>
              <w:rPr>
                <w:rFonts w:ascii="Times New Roman" w:eastAsia="宋体" w:hAnsi="Times New Roman"/>
                <w:color w:val="auto"/>
                <w:sz w:val="24"/>
                <w:szCs w:val="24"/>
              </w:rPr>
            </w:pPr>
          </w:p>
        </w:tc>
        <w:tc>
          <w:tcPr>
            <w:tcW w:w="2622" w:type="dxa"/>
            <w:tcBorders>
              <w:tl2br w:val="nil"/>
              <w:tr2bl w:val="nil"/>
            </w:tcBorders>
          </w:tcPr>
          <w:p>
            <w:pPr>
              <w:pStyle w:val="556"/>
              <w:rPr>
                <w:rFonts w:ascii="Times New Roman" w:eastAsia="宋体" w:hAnsi="Times New Roman"/>
                <w:color w:val="auto"/>
                <w:sz w:val="24"/>
                <w:szCs w:val="24"/>
              </w:rPr>
            </w:pPr>
          </w:p>
        </w:tc>
        <w:tc>
          <w:tcPr>
            <w:tcW w:w="2624" w:type="dxa"/>
            <w:tcBorders>
              <w:tl2br w:val="nil"/>
              <w:tr2bl w:val="nil"/>
            </w:tcBorders>
          </w:tcPr>
          <w:p>
            <w:pPr>
              <w:pStyle w:val="556"/>
              <w:rPr>
                <w:rFonts w:ascii="Times New Roman" w:eastAsia="宋体" w:hAnsi="Times New Roman"/>
                <w:color w:val="auto"/>
                <w:sz w:val="24"/>
                <w:szCs w:val="24"/>
              </w:rPr>
            </w:pPr>
          </w:p>
        </w:tc>
        <w:tc>
          <w:tcPr>
            <w:tcW w:w="2623" w:type="dxa"/>
            <w:tcBorders>
              <w:tl2br w:val="nil"/>
              <w:tr2bl w:val="nil"/>
            </w:tcBorders>
          </w:tcPr>
          <w:p>
            <w:pPr>
              <w:pStyle w:val="556"/>
              <w:rPr>
                <w:rFonts w:ascii="Times New Roman" w:eastAsia="宋体" w:hAnsi="Times New Roman"/>
                <w:color w:val="auto"/>
                <w:sz w:val="24"/>
                <w:szCs w:val="24"/>
              </w:rPr>
            </w:pPr>
          </w:p>
        </w:tc>
        <w:tc>
          <w:tcPr>
            <w:tcW w:w="2631" w:type="dxa"/>
            <w:tcBorders>
              <w:tl2br w:val="nil"/>
              <w:tr2bl w:val="nil"/>
            </w:tcBorders>
          </w:tcPr>
          <w:p>
            <w:pPr>
              <w:pStyle w:val="556"/>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6"/>
              <w:rPr>
                <w:rFonts w:ascii="Times New Roman" w:eastAsia="宋体" w:hAnsi="Times New Roman"/>
                <w:color w:val="auto"/>
                <w:sz w:val="24"/>
                <w:szCs w:val="24"/>
              </w:rPr>
            </w:pPr>
          </w:p>
        </w:tc>
        <w:tc>
          <w:tcPr>
            <w:tcW w:w="2622" w:type="dxa"/>
            <w:tcBorders>
              <w:tl2br w:val="nil"/>
              <w:tr2bl w:val="nil"/>
            </w:tcBorders>
          </w:tcPr>
          <w:p>
            <w:pPr>
              <w:pStyle w:val="556"/>
              <w:rPr>
                <w:rFonts w:ascii="Times New Roman" w:eastAsia="宋体" w:hAnsi="Times New Roman"/>
                <w:color w:val="auto"/>
                <w:sz w:val="24"/>
                <w:szCs w:val="24"/>
              </w:rPr>
            </w:pPr>
          </w:p>
        </w:tc>
        <w:tc>
          <w:tcPr>
            <w:tcW w:w="2624" w:type="dxa"/>
            <w:tcBorders>
              <w:tl2br w:val="nil"/>
              <w:tr2bl w:val="nil"/>
            </w:tcBorders>
          </w:tcPr>
          <w:p>
            <w:pPr>
              <w:pStyle w:val="556"/>
              <w:rPr>
                <w:rFonts w:ascii="Times New Roman" w:eastAsia="宋体" w:hAnsi="Times New Roman"/>
                <w:color w:val="auto"/>
                <w:sz w:val="24"/>
                <w:szCs w:val="24"/>
              </w:rPr>
            </w:pPr>
          </w:p>
        </w:tc>
        <w:tc>
          <w:tcPr>
            <w:tcW w:w="2623" w:type="dxa"/>
            <w:tcBorders>
              <w:tl2br w:val="nil"/>
              <w:tr2bl w:val="nil"/>
            </w:tcBorders>
          </w:tcPr>
          <w:p>
            <w:pPr>
              <w:pStyle w:val="556"/>
              <w:rPr>
                <w:rFonts w:ascii="Times New Roman" w:eastAsia="宋体" w:hAnsi="Times New Roman"/>
                <w:color w:val="auto"/>
                <w:sz w:val="24"/>
                <w:szCs w:val="24"/>
              </w:rPr>
            </w:pPr>
          </w:p>
        </w:tc>
        <w:tc>
          <w:tcPr>
            <w:tcW w:w="2631" w:type="dxa"/>
            <w:tcBorders>
              <w:tl2br w:val="nil"/>
              <w:tr2bl w:val="nil"/>
            </w:tcBorders>
          </w:tcPr>
          <w:p>
            <w:pPr>
              <w:pStyle w:val="556"/>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6"/>
              <w:rPr>
                <w:rFonts w:ascii="Times New Roman" w:eastAsia="宋体" w:hAnsi="Times New Roman"/>
                <w:color w:val="auto"/>
                <w:sz w:val="24"/>
                <w:szCs w:val="24"/>
              </w:rPr>
            </w:pPr>
          </w:p>
        </w:tc>
        <w:tc>
          <w:tcPr>
            <w:tcW w:w="2622" w:type="dxa"/>
            <w:tcBorders>
              <w:tl2br w:val="nil"/>
              <w:tr2bl w:val="nil"/>
            </w:tcBorders>
          </w:tcPr>
          <w:p>
            <w:pPr>
              <w:pStyle w:val="556"/>
              <w:rPr>
                <w:rFonts w:ascii="Times New Roman" w:eastAsia="宋体" w:hAnsi="Times New Roman"/>
                <w:color w:val="auto"/>
                <w:sz w:val="24"/>
                <w:szCs w:val="24"/>
              </w:rPr>
            </w:pPr>
          </w:p>
        </w:tc>
        <w:tc>
          <w:tcPr>
            <w:tcW w:w="2624" w:type="dxa"/>
            <w:tcBorders>
              <w:tl2br w:val="nil"/>
              <w:tr2bl w:val="nil"/>
            </w:tcBorders>
          </w:tcPr>
          <w:p>
            <w:pPr>
              <w:pStyle w:val="556"/>
              <w:rPr>
                <w:rFonts w:ascii="Times New Roman" w:eastAsia="宋体" w:hAnsi="Times New Roman"/>
                <w:color w:val="auto"/>
                <w:sz w:val="24"/>
                <w:szCs w:val="24"/>
              </w:rPr>
            </w:pPr>
          </w:p>
        </w:tc>
        <w:tc>
          <w:tcPr>
            <w:tcW w:w="2623" w:type="dxa"/>
            <w:tcBorders>
              <w:tl2br w:val="nil"/>
              <w:tr2bl w:val="nil"/>
            </w:tcBorders>
          </w:tcPr>
          <w:p>
            <w:pPr>
              <w:pStyle w:val="556"/>
              <w:rPr>
                <w:rFonts w:ascii="Times New Roman" w:eastAsia="宋体" w:hAnsi="Times New Roman"/>
                <w:color w:val="auto"/>
                <w:sz w:val="24"/>
                <w:szCs w:val="24"/>
              </w:rPr>
            </w:pPr>
          </w:p>
        </w:tc>
        <w:tc>
          <w:tcPr>
            <w:tcW w:w="2631" w:type="dxa"/>
            <w:tcBorders>
              <w:tl2br w:val="nil"/>
              <w:tr2bl w:val="nil"/>
            </w:tcBorders>
          </w:tcPr>
          <w:p>
            <w:pPr>
              <w:pStyle w:val="556"/>
              <w:rPr>
                <w:rFonts w:ascii="Times New Roman" w:eastAsia="宋体" w:hAnsi="Times New Roman"/>
                <w:color w:val="auto"/>
                <w:sz w:val="24"/>
                <w:szCs w:val="24"/>
              </w:rPr>
            </w:pPr>
          </w:p>
        </w:tc>
      </w:tr>
      <w:tr>
        <w:trPr>
          <w:trHeight w:val="535"/>
        </w:trPr>
        <w:tc>
          <w:tcPr>
            <w:tcW w:w="5253" w:type="dxa"/>
            <w:gridSpan w:val="2"/>
            <w:tcBorders>
              <w:tl2br w:val="nil"/>
              <w:tr2bl w:val="nil"/>
            </w:tcBorders>
          </w:tcPr>
          <w:p>
            <w:pPr>
              <w:pStyle w:val="556"/>
              <w:spacing w:before="107" w:line="180" w:lineRule="auto"/>
              <w:ind w:firstLine="2211"/>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6"/>
                <w:sz w:val="24"/>
                <w:szCs w:val="24"/>
              </w:rPr>
              <w:t>合计</w:t>
            </w:r>
          </w:p>
        </w:tc>
        <w:tc>
          <w:tcPr>
            <w:tcW w:w="2624" w:type="dxa"/>
            <w:tcBorders>
              <w:tl2br w:val="nil"/>
              <w:tr2bl w:val="nil"/>
            </w:tcBorders>
          </w:tcPr>
          <w:p>
            <w:pPr>
              <w:pStyle w:val="556"/>
              <w:rPr>
                <w:rFonts w:ascii="Times New Roman" w:eastAsia="宋体" w:hAnsi="Times New Roman"/>
                <w:color w:val="auto"/>
                <w:sz w:val="24"/>
                <w:szCs w:val="24"/>
              </w:rPr>
            </w:pPr>
          </w:p>
        </w:tc>
        <w:tc>
          <w:tcPr>
            <w:tcW w:w="2623" w:type="dxa"/>
            <w:tcBorders>
              <w:tl2br w:val="nil"/>
              <w:tr2bl w:val="nil"/>
            </w:tcBorders>
          </w:tcPr>
          <w:p>
            <w:pPr>
              <w:pStyle w:val="556"/>
              <w:rPr>
                <w:rFonts w:ascii="Times New Roman" w:eastAsia="宋体" w:hAnsi="Times New Roman"/>
                <w:color w:val="auto"/>
                <w:sz w:val="24"/>
                <w:szCs w:val="24"/>
              </w:rPr>
            </w:pPr>
          </w:p>
        </w:tc>
        <w:tc>
          <w:tcPr>
            <w:tcW w:w="2631" w:type="dxa"/>
            <w:tcBorders>
              <w:tl2br w:val="nil"/>
              <w:tr2bl w:val="nil"/>
            </w:tcBorders>
          </w:tcPr>
          <w:p>
            <w:pPr>
              <w:pStyle w:val="556"/>
              <w:rPr>
                <w:rFonts w:ascii="Times New Roman" w:eastAsia="宋体" w:hAnsi="Times New Roman"/>
                <w:color w:val="auto"/>
                <w:sz w:val="24"/>
                <w:szCs w:val="24"/>
              </w:rPr>
            </w:pPr>
          </w:p>
        </w:tc>
      </w:tr>
    </w:tbl>
    <w:p>
      <w:pPr>
        <w:pStyle w:val="556"/>
        <w:spacing w:before="94" w:line="180" w:lineRule="auto"/>
        <w:ind w:firstLine="134"/>
        <w:jc w:val="both"/>
        <w:rPr>
          <w:rFonts w:ascii="方正仿宋_GBK" w:eastAsia="方正仿宋_GBK" w:cs="方正仿宋_GBK"/>
          <w:color w:val="auto"/>
          <w:spacing w:val="-1"/>
          <w:sz w:val="24"/>
          <w:szCs w:val="24"/>
        </w:rPr>
      </w:pPr>
    </w:p>
    <w:p>
      <w:pPr>
        <w:pStyle w:val="556"/>
        <w:spacing w:before="94" w:line="180" w:lineRule="auto"/>
        <w:ind w:firstLine="134"/>
        <w:jc w:val="both"/>
        <w:rPr>
          <w:rFonts w:ascii="方正仿宋_GBK" w:eastAsia="方正仿宋_GBK" w:cs="方正仿宋_GBK"/>
          <w:color w:val="auto"/>
          <w:sz w:val="24"/>
          <w:szCs w:val="24"/>
        </w:rPr>
      </w:pPr>
      <w:r>
        <w:rPr>
          <w:rFonts w:ascii="方正仿宋_GBK" w:eastAsia="方正仿宋_GBK" w:cs="方正仿宋_GBK" w:hint="eastAsia"/>
          <w:color w:val="auto"/>
          <w:spacing w:val="-1"/>
          <w:sz w:val="24"/>
          <w:szCs w:val="24"/>
        </w:rPr>
        <w:t>注：</w:t>
      </w:r>
      <w:r>
        <w:rPr>
          <w:rFonts w:ascii="方正仿宋_GBK" w:eastAsia="方正仿宋_GBK" w:cs="方正仿宋_GBK" w:hint="eastAsia"/>
          <w:bCs/>
          <w:color w:val="auto"/>
          <w:spacing w:val="-6"/>
          <w:sz w:val="24"/>
          <w:szCs w:val="24"/>
        </w:rPr>
        <w:t>茂名海关综合技术服务中心</w:t>
      </w:r>
      <w:r>
        <w:rPr>
          <w:rFonts w:ascii="方正仿宋_GBK" w:eastAsia="方正仿宋_GBK" w:cs="方正仿宋_GBK" w:hint="eastAsia"/>
          <w:color w:val="auto"/>
          <w:spacing w:val="-1"/>
          <w:sz w:val="24"/>
          <w:szCs w:val="24"/>
        </w:rPr>
        <w:t>无</w:t>
      </w:r>
      <w:r>
        <w:rPr>
          <w:rFonts w:eastAsia="方正仿宋_GBK" w:hint="eastAsia"/>
          <w:sz w:val="24"/>
        </w:rPr>
        <w:t>2025年</w:t>
      </w:r>
      <w:r>
        <w:rPr>
          <w:rFonts w:ascii="方正仿宋_GBK" w:eastAsia="方正仿宋_GBK" w:cs="方正仿宋_GBK" w:hint="eastAsia"/>
          <w:color w:val="auto"/>
          <w:spacing w:val="-1"/>
          <w:sz w:val="24"/>
          <w:szCs w:val="24"/>
        </w:rPr>
        <w:t>政府性基金预算拨款收入，也无使用政府性基金安排的支出，故本表无数据。</w:t>
      </w: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pPr>
    </w:p>
    <w:p>
      <w:pPr>
        <w:pStyle w:val="556"/>
        <w:jc w:val="both"/>
        <w:rPr>
          <w:rFonts w:ascii="Times New Roman" w:eastAsia="宋体" w:hAnsi="Times New Roman"/>
          <w:color w:val="auto"/>
        </w:rPr>
        <w:sectPr>
          <w:pgSz w:w="16841" w:h="11907"/>
          <w:pgMar w:top="808" w:right="1848" w:bottom="0" w:left="1850" w:header="0" w:footer="0" w:gutter="0"/>
          <w:docGrid w:linePitch="285" w:charSpace="0"/>
        </w:sectPr>
      </w:pPr>
    </w:p>
    <w:p>
      <w:pPr>
        <w:pStyle w:val="527"/>
        <w:wordWrap w:val="0"/>
        <w:ind w:right="800" w:firstLineChars="6610" w:firstLine="13220"/>
        <w:rPr>
          <w:rFonts w:cs="Microsoft JhengHei"/>
          <w:b/>
          <w:snapToGrid w:val="0"/>
          <w:szCs w:val="21"/>
        </w:rPr>
      </w:pPr>
      <w:r>
        <w:rPr>
          <w:rFonts w:ascii="黑体" w:eastAsia="黑体" w:cs="黑体" w:hint="eastAsia"/>
          <w:b/>
          <w:snapToGrid w:val="0"/>
          <w:sz w:val="20"/>
          <w:szCs w:val="20"/>
        </w:rPr>
        <w:t>部门公开表8</w:t>
      </w:r>
    </w:p>
    <w:p>
      <w:pPr>
        <w:pStyle w:val="527"/>
        <w:jc w:val="center"/>
        <w:rPr>
          <w:rFonts w:cs="Microsoft JhengHei"/>
          <w:b/>
          <w:sz w:val="36"/>
          <w:szCs w:val="36"/>
        </w:rPr>
      </w:pPr>
      <w:r>
        <w:rPr>
          <w:rFonts w:cs="Microsoft JhengHei" w:hint="eastAsia"/>
          <w:b/>
          <w:snapToGrid w:val="0"/>
          <w:sz w:val="36"/>
          <w:szCs w:val="36"/>
        </w:rPr>
        <w:t>国有资本经营预算支出表</w:t>
      </w:r>
    </w:p>
    <w:p>
      <w:pPr>
        <w:pStyle w:val="557"/>
        <w:kinsoku w:val="0"/>
        <w:wordWrap w:val="0"/>
        <w:autoSpaceDE w:val="0"/>
        <w:autoSpaceDN w:val="0"/>
        <w:spacing w:before="149" w:line="180" w:lineRule="auto"/>
        <w:ind w:firstLine="12184"/>
        <w:jc w:val="right"/>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1"/>
          <w:sz w:val="20"/>
          <w:szCs w:val="20"/>
        </w:rPr>
        <w:t xml:space="preserve">单位:万元              </w:t>
      </w:r>
    </w:p>
    <w:p>
      <w:pPr>
        <w:pStyle w:val="557"/>
        <w:spacing w:line="71" w:lineRule="exact"/>
        <w:rPr>
          <w:rFonts w:ascii="Times New Roman" w:eastAsia="宋体" w:hAnsi="Times New Roman"/>
          <w:color w:val="auto"/>
        </w:rPr>
      </w:pPr>
    </w:p>
    <w:tbl>
      <w:tblPr>
        <w:tblpPr w:leftFromText="180" w:rightFromText="180" w:vertAnchor="page" w:horzAnchor="page" w:tblpXSpec="center" w:tblpY="2575"/>
        <w:tblOverlap w:val="never"/>
        <w:tblW w:w="13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2631"/>
        <w:gridCol w:w="2622"/>
        <w:gridCol w:w="2624"/>
        <w:gridCol w:w="2623"/>
        <w:gridCol w:w="2631"/>
      </w:tblGrid>
      <w:tr>
        <w:trPr>
          <w:trHeight w:val="658"/>
        </w:trPr>
        <w:tc>
          <w:tcPr>
            <w:tcW w:w="2631" w:type="dxa"/>
            <w:vMerge w:val="restart"/>
            <w:tcBorders>
              <w:bottom w:val="nil"/>
              <w:tl2br w:val="nil"/>
              <w:tr2bl w:val="nil"/>
            </w:tcBorders>
          </w:tcPr>
          <w:p>
            <w:pPr>
              <w:pStyle w:val="557"/>
              <w:spacing w:line="372" w:lineRule="auto"/>
              <w:rPr>
                <w:rFonts w:ascii="Times New Roman" w:eastAsia="宋体" w:hAnsi="Times New Roman"/>
                <w:color w:val="auto"/>
                <w:sz w:val="24"/>
                <w:szCs w:val="24"/>
              </w:rPr>
            </w:pPr>
          </w:p>
          <w:p>
            <w:pPr>
              <w:pStyle w:val="557"/>
              <w:spacing w:before="121" w:line="180" w:lineRule="auto"/>
              <w:ind w:firstLine="760"/>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科目编码</w:t>
            </w:r>
          </w:p>
        </w:tc>
        <w:tc>
          <w:tcPr>
            <w:tcW w:w="2622" w:type="dxa"/>
            <w:vMerge w:val="restart"/>
            <w:tcBorders>
              <w:bottom w:val="nil"/>
              <w:tl2br w:val="nil"/>
              <w:tr2bl w:val="nil"/>
            </w:tcBorders>
          </w:tcPr>
          <w:p>
            <w:pPr>
              <w:pStyle w:val="557"/>
              <w:spacing w:line="372" w:lineRule="auto"/>
              <w:rPr>
                <w:rFonts w:ascii="Times New Roman" w:eastAsia="宋体" w:hAnsi="Times New Roman"/>
                <w:color w:val="auto"/>
                <w:sz w:val="24"/>
                <w:szCs w:val="24"/>
              </w:rPr>
            </w:pPr>
          </w:p>
          <w:p>
            <w:pPr>
              <w:pStyle w:val="557"/>
              <w:spacing w:before="121" w:line="180" w:lineRule="auto"/>
              <w:ind w:firstLine="754"/>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科目名称</w:t>
            </w:r>
          </w:p>
        </w:tc>
        <w:tc>
          <w:tcPr>
            <w:tcW w:w="7878" w:type="dxa"/>
            <w:gridSpan w:val="3"/>
            <w:tcBorders>
              <w:tl2br w:val="nil"/>
              <w:tr2bl w:val="nil"/>
            </w:tcBorders>
            <w:vAlign w:val="center"/>
          </w:tcPr>
          <w:p>
            <w:pPr>
              <w:pStyle w:val="556"/>
              <w:spacing w:before="166" w:line="180" w:lineRule="auto"/>
              <w:jc w:val="center"/>
              <w:rPr>
                <w:rFonts w:ascii="Times New Roman" w:eastAsia="宋体" w:cs="Microsoft JhengHei" w:hAnsi="Times New Roman"/>
                <w:color w:val="auto"/>
                <w:sz w:val="24"/>
                <w:szCs w:val="24"/>
              </w:rPr>
            </w:pPr>
            <w:r>
              <w:rPr>
                <w:rFonts w:ascii="Times New Roman" w:eastAsia="宋体" w:cs="Times New Roman" w:hAnsi="Times New Roman"/>
                <w:color w:val="auto"/>
                <w:spacing w:val="-2"/>
                <w:sz w:val="24"/>
                <w:szCs w:val="24"/>
              </w:rPr>
              <w:t>2025</w:t>
            </w:r>
            <w:r>
              <w:rPr>
                <w:rFonts w:ascii="Times New Roman" w:eastAsia="宋体" w:cs="Microsoft JhengHei" w:hAnsi="Times New Roman" w:hint="eastAsia"/>
                <w:color w:val="auto"/>
                <w:spacing w:val="-2"/>
                <w:sz w:val="24"/>
                <w:szCs w:val="24"/>
              </w:rPr>
              <w:t>年国有资本经营预算支出</w:t>
            </w:r>
          </w:p>
        </w:tc>
      </w:tr>
      <w:tr>
        <w:trPr>
          <w:trHeight w:val="649"/>
        </w:trPr>
        <w:tc>
          <w:tcPr>
            <w:tcW w:w="2631" w:type="dxa"/>
            <w:vMerge/>
            <w:tcBorders>
              <w:top w:val="nil"/>
              <w:tl2br w:val="nil"/>
              <w:tr2bl w:val="nil"/>
            </w:tcBorders>
          </w:tcPr>
          <w:p/>
        </w:tc>
        <w:tc>
          <w:tcPr>
            <w:tcW w:w="2622" w:type="dxa"/>
            <w:vMerge/>
            <w:tcBorders>
              <w:top w:val="nil"/>
              <w:tl2br w:val="nil"/>
              <w:tr2bl w:val="nil"/>
            </w:tcBorders>
          </w:tcPr>
          <w:p/>
        </w:tc>
        <w:tc>
          <w:tcPr>
            <w:tcW w:w="2624"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3"/>
                <w:sz w:val="24"/>
                <w:szCs w:val="24"/>
              </w:rPr>
              <w:t>合计</w:t>
            </w:r>
          </w:p>
        </w:tc>
        <w:tc>
          <w:tcPr>
            <w:tcW w:w="2623"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基本支出</w:t>
            </w:r>
          </w:p>
        </w:tc>
        <w:tc>
          <w:tcPr>
            <w:tcW w:w="2631" w:type="dxa"/>
            <w:tcBorders>
              <w:tl2br w:val="nil"/>
              <w:tr2bl w:val="nil"/>
            </w:tcBorders>
            <w:vAlign w:val="center"/>
          </w:tcPr>
          <w:p>
            <w:pPr>
              <w:pStyle w:val="556"/>
              <w:spacing w:before="158" w:line="180" w:lineRule="auto"/>
              <w:jc w:val="center"/>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2"/>
                <w:sz w:val="24"/>
                <w:szCs w:val="24"/>
              </w:rPr>
              <w:t>项目支出</w:t>
            </w:r>
          </w:p>
        </w:tc>
      </w:tr>
      <w:tr>
        <w:trPr>
          <w:trHeight w:val="529"/>
        </w:trPr>
        <w:tc>
          <w:tcPr>
            <w:tcW w:w="2631" w:type="dxa"/>
            <w:tcBorders>
              <w:tl2br w:val="nil"/>
              <w:tr2bl w:val="nil"/>
            </w:tcBorders>
          </w:tcPr>
          <w:p>
            <w:pPr>
              <w:pStyle w:val="557"/>
              <w:rPr>
                <w:rFonts w:ascii="Times New Roman" w:eastAsia="宋体" w:hAnsi="Times New Roman"/>
                <w:color w:val="auto"/>
                <w:sz w:val="24"/>
                <w:szCs w:val="24"/>
              </w:rPr>
            </w:pPr>
          </w:p>
        </w:tc>
        <w:tc>
          <w:tcPr>
            <w:tcW w:w="2622" w:type="dxa"/>
            <w:tcBorders>
              <w:tl2br w:val="nil"/>
              <w:tr2bl w:val="nil"/>
            </w:tcBorders>
          </w:tcPr>
          <w:p>
            <w:pPr>
              <w:pStyle w:val="557"/>
              <w:rPr>
                <w:rFonts w:ascii="Times New Roman" w:eastAsia="宋体" w:hAnsi="Times New Roman"/>
                <w:color w:val="auto"/>
                <w:sz w:val="24"/>
                <w:szCs w:val="24"/>
              </w:rPr>
            </w:pPr>
          </w:p>
        </w:tc>
        <w:tc>
          <w:tcPr>
            <w:tcW w:w="2624" w:type="dxa"/>
            <w:tcBorders>
              <w:tl2br w:val="nil"/>
              <w:tr2bl w:val="nil"/>
            </w:tcBorders>
          </w:tcPr>
          <w:p>
            <w:pPr>
              <w:pStyle w:val="557"/>
              <w:rPr>
                <w:rFonts w:ascii="Times New Roman" w:eastAsia="宋体" w:hAnsi="Times New Roman"/>
                <w:color w:val="auto"/>
                <w:sz w:val="24"/>
                <w:szCs w:val="24"/>
              </w:rPr>
            </w:pPr>
          </w:p>
        </w:tc>
        <w:tc>
          <w:tcPr>
            <w:tcW w:w="2623" w:type="dxa"/>
            <w:tcBorders>
              <w:tl2br w:val="nil"/>
              <w:tr2bl w:val="nil"/>
            </w:tcBorders>
          </w:tcPr>
          <w:p>
            <w:pPr>
              <w:pStyle w:val="557"/>
              <w:rPr>
                <w:rFonts w:ascii="Times New Roman" w:eastAsia="宋体" w:hAnsi="Times New Roman"/>
                <w:color w:val="auto"/>
                <w:sz w:val="24"/>
                <w:szCs w:val="24"/>
              </w:rPr>
            </w:pPr>
          </w:p>
        </w:tc>
        <w:tc>
          <w:tcPr>
            <w:tcW w:w="2631" w:type="dxa"/>
            <w:tcBorders>
              <w:tl2br w:val="nil"/>
              <w:tr2bl w:val="nil"/>
            </w:tcBorders>
          </w:tcPr>
          <w:p>
            <w:pPr>
              <w:pStyle w:val="557"/>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7"/>
              <w:rPr>
                <w:rFonts w:ascii="Times New Roman" w:eastAsia="宋体" w:hAnsi="Times New Roman"/>
                <w:color w:val="auto"/>
                <w:sz w:val="24"/>
                <w:szCs w:val="24"/>
              </w:rPr>
            </w:pPr>
          </w:p>
        </w:tc>
        <w:tc>
          <w:tcPr>
            <w:tcW w:w="2622" w:type="dxa"/>
            <w:tcBorders>
              <w:tl2br w:val="nil"/>
              <w:tr2bl w:val="nil"/>
            </w:tcBorders>
          </w:tcPr>
          <w:p>
            <w:pPr>
              <w:pStyle w:val="557"/>
              <w:rPr>
                <w:rFonts w:ascii="Times New Roman" w:eastAsia="宋体" w:hAnsi="Times New Roman"/>
                <w:color w:val="auto"/>
                <w:sz w:val="24"/>
                <w:szCs w:val="24"/>
              </w:rPr>
            </w:pPr>
          </w:p>
        </w:tc>
        <w:tc>
          <w:tcPr>
            <w:tcW w:w="2624" w:type="dxa"/>
            <w:tcBorders>
              <w:tl2br w:val="nil"/>
              <w:tr2bl w:val="nil"/>
            </w:tcBorders>
          </w:tcPr>
          <w:p>
            <w:pPr>
              <w:pStyle w:val="557"/>
              <w:rPr>
                <w:rFonts w:ascii="Times New Roman" w:eastAsia="宋体" w:hAnsi="Times New Roman"/>
                <w:color w:val="auto"/>
                <w:sz w:val="24"/>
                <w:szCs w:val="24"/>
              </w:rPr>
            </w:pPr>
          </w:p>
        </w:tc>
        <w:tc>
          <w:tcPr>
            <w:tcW w:w="2623" w:type="dxa"/>
            <w:tcBorders>
              <w:tl2br w:val="nil"/>
              <w:tr2bl w:val="nil"/>
            </w:tcBorders>
          </w:tcPr>
          <w:p>
            <w:pPr>
              <w:pStyle w:val="557"/>
              <w:rPr>
                <w:rFonts w:ascii="Times New Roman" w:eastAsia="宋体" w:hAnsi="Times New Roman"/>
                <w:color w:val="auto"/>
                <w:sz w:val="24"/>
                <w:szCs w:val="24"/>
              </w:rPr>
            </w:pPr>
          </w:p>
        </w:tc>
        <w:tc>
          <w:tcPr>
            <w:tcW w:w="2631" w:type="dxa"/>
            <w:tcBorders>
              <w:tl2br w:val="nil"/>
              <w:tr2bl w:val="nil"/>
            </w:tcBorders>
          </w:tcPr>
          <w:p>
            <w:pPr>
              <w:pStyle w:val="557"/>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7"/>
              <w:rPr>
                <w:rFonts w:ascii="Times New Roman" w:eastAsia="宋体" w:hAnsi="Times New Roman"/>
                <w:color w:val="auto"/>
                <w:sz w:val="24"/>
                <w:szCs w:val="24"/>
              </w:rPr>
            </w:pPr>
          </w:p>
        </w:tc>
        <w:tc>
          <w:tcPr>
            <w:tcW w:w="2622" w:type="dxa"/>
            <w:tcBorders>
              <w:tl2br w:val="nil"/>
              <w:tr2bl w:val="nil"/>
            </w:tcBorders>
          </w:tcPr>
          <w:p>
            <w:pPr>
              <w:pStyle w:val="557"/>
              <w:rPr>
                <w:rFonts w:ascii="Times New Roman" w:eastAsia="宋体" w:hAnsi="Times New Roman"/>
                <w:color w:val="auto"/>
                <w:sz w:val="24"/>
                <w:szCs w:val="24"/>
              </w:rPr>
            </w:pPr>
          </w:p>
        </w:tc>
        <w:tc>
          <w:tcPr>
            <w:tcW w:w="2624" w:type="dxa"/>
            <w:tcBorders>
              <w:tl2br w:val="nil"/>
              <w:tr2bl w:val="nil"/>
            </w:tcBorders>
          </w:tcPr>
          <w:p>
            <w:pPr>
              <w:pStyle w:val="557"/>
              <w:rPr>
                <w:rFonts w:ascii="Times New Roman" w:eastAsia="宋体" w:hAnsi="Times New Roman"/>
                <w:color w:val="auto"/>
                <w:sz w:val="24"/>
                <w:szCs w:val="24"/>
              </w:rPr>
            </w:pPr>
          </w:p>
        </w:tc>
        <w:tc>
          <w:tcPr>
            <w:tcW w:w="2623" w:type="dxa"/>
            <w:tcBorders>
              <w:tl2br w:val="nil"/>
              <w:tr2bl w:val="nil"/>
            </w:tcBorders>
          </w:tcPr>
          <w:p>
            <w:pPr>
              <w:pStyle w:val="557"/>
              <w:rPr>
                <w:rFonts w:ascii="Times New Roman" w:eastAsia="宋体" w:hAnsi="Times New Roman"/>
                <w:color w:val="auto"/>
                <w:sz w:val="24"/>
                <w:szCs w:val="24"/>
              </w:rPr>
            </w:pPr>
          </w:p>
        </w:tc>
        <w:tc>
          <w:tcPr>
            <w:tcW w:w="2631" w:type="dxa"/>
            <w:tcBorders>
              <w:tl2br w:val="nil"/>
              <w:tr2bl w:val="nil"/>
            </w:tcBorders>
          </w:tcPr>
          <w:p>
            <w:pPr>
              <w:pStyle w:val="557"/>
              <w:rPr>
                <w:rFonts w:ascii="Times New Roman" w:eastAsia="宋体" w:hAnsi="Times New Roman"/>
                <w:color w:val="auto"/>
                <w:sz w:val="24"/>
                <w:szCs w:val="24"/>
              </w:rPr>
            </w:pPr>
          </w:p>
        </w:tc>
      </w:tr>
      <w:tr>
        <w:trPr>
          <w:trHeight w:val="528"/>
        </w:trPr>
        <w:tc>
          <w:tcPr>
            <w:tcW w:w="2631" w:type="dxa"/>
            <w:tcBorders>
              <w:tl2br w:val="nil"/>
              <w:tr2bl w:val="nil"/>
            </w:tcBorders>
          </w:tcPr>
          <w:p>
            <w:pPr>
              <w:pStyle w:val="557"/>
              <w:rPr>
                <w:rFonts w:ascii="Times New Roman" w:eastAsia="宋体" w:hAnsi="Times New Roman"/>
                <w:color w:val="auto"/>
                <w:sz w:val="24"/>
                <w:szCs w:val="24"/>
              </w:rPr>
            </w:pPr>
          </w:p>
        </w:tc>
        <w:tc>
          <w:tcPr>
            <w:tcW w:w="2622" w:type="dxa"/>
            <w:tcBorders>
              <w:tl2br w:val="nil"/>
              <w:tr2bl w:val="nil"/>
            </w:tcBorders>
          </w:tcPr>
          <w:p>
            <w:pPr>
              <w:pStyle w:val="557"/>
              <w:rPr>
                <w:rFonts w:ascii="Times New Roman" w:eastAsia="宋体" w:hAnsi="Times New Roman"/>
                <w:color w:val="auto"/>
                <w:sz w:val="24"/>
                <w:szCs w:val="24"/>
              </w:rPr>
            </w:pPr>
          </w:p>
        </w:tc>
        <w:tc>
          <w:tcPr>
            <w:tcW w:w="2624" w:type="dxa"/>
            <w:tcBorders>
              <w:tl2br w:val="nil"/>
              <w:tr2bl w:val="nil"/>
            </w:tcBorders>
          </w:tcPr>
          <w:p>
            <w:pPr>
              <w:pStyle w:val="557"/>
              <w:rPr>
                <w:rFonts w:ascii="Times New Roman" w:eastAsia="宋体" w:hAnsi="Times New Roman"/>
                <w:color w:val="auto"/>
                <w:sz w:val="24"/>
                <w:szCs w:val="24"/>
              </w:rPr>
            </w:pPr>
          </w:p>
        </w:tc>
        <w:tc>
          <w:tcPr>
            <w:tcW w:w="2623" w:type="dxa"/>
            <w:tcBorders>
              <w:tl2br w:val="nil"/>
              <w:tr2bl w:val="nil"/>
            </w:tcBorders>
          </w:tcPr>
          <w:p>
            <w:pPr>
              <w:pStyle w:val="557"/>
              <w:rPr>
                <w:rFonts w:ascii="Times New Roman" w:eastAsia="宋体" w:hAnsi="Times New Roman"/>
                <w:color w:val="auto"/>
                <w:sz w:val="24"/>
                <w:szCs w:val="24"/>
              </w:rPr>
            </w:pPr>
          </w:p>
        </w:tc>
        <w:tc>
          <w:tcPr>
            <w:tcW w:w="2631" w:type="dxa"/>
            <w:tcBorders>
              <w:tl2br w:val="nil"/>
              <w:tr2bl w:val="nil"/>
            </w:tcBorders>
          </w:tcPr>
          <w:p>
            <w:pPr>
              <w:pStyle w:val="557"/>
              <w:rPr>
                <w:rFonts w:ascii="Times New Roman" w:eastAsia="宋体" w:hAnsi="Times New Roman"/>
                <w:color w:val="auto"/>
                <w:sz w:val="24"/>
                <w:szCs w:val="24"/>
              </w:rPr>
            </w:pPr>
          </w:p>
        </w:tc>
      </w:tr>
      <w:tr>
        <w:trPr>
          <w:trHeight w:val="535"/>
        </w:trPr>
        <w:tc>
          <w:tcPr>
            <w:tcW w:w="5253" w:type="dxa"/>
            <w:gridSpan w:val="2"/>
            <w:tcBorders>
              <w:tl2br w:val="nil"/>
              <w:tr2bl w:val="nil"/>
            </w:tcBorders>
          </w:tcPr>
          <w:p>
            <w:pPr>
              <w:pStyle w:val="557"/>
              <w:spacing w:before="107" w:line="180" w:lineRule="auto"/>
              <w:ind w:firstLine="2211"/>
              <w:rPr>
                <w:rFonts w:ascii="Times New Roman" w:eastAsia="宋体" w:cs="Microsoft JhengHei" w:hAnsi="Times New Roman"/>
                <w:color w:val="auto"/>
                <w:sz w:val="24"/>
                <w:szCs w:val="24"/>
              </w:rPr>
            </w:pPr>
            <w:r>
              <w:rPr>
                <w:rFonts w:ascii="Times New Roman" w:eastAsia="宋体" w:cs="Microsoft JhengHei" w:hAnsi="Times New Roman" w:hint="eastAsia"/>
                <w:color w:val="auto"/>
                <w:spacing w:val="-6"/>
                <w:sz w:val="24"/>
                <w:szCs w:val="24"/>
              </w:rPr>
              <w:t>合计</w:t>
            </w:r>
          </w:p>
        </w:tc>
        <w:tc>
          <w:tcPr>
            <w:tcW w:w="2624" w:type="dxa"/>
            <w:tcBorders>
              <w:tl2br w:val="nil"/>
              <w:tr2bl w:val="nil"/>
            </w:tcBorders>
          </w:tcPr>
          <w:p>
            <w:pPr>
              <w:pStyle w:val="557"/>
              <w:rPr>
                <w:rFonts w:ascii="Times New Roman" w:eastAsia="宋体" w:hAnsi="Times New Roman"/>
                <w:color w:val="auto"/>
                <w:sz w:val="24"/>
                <w:szCs w:val="24"/>
              </w:rPr>
            </w:pPr>
          </w:p>
        </w:tc>
        <w:tc>
          <w:tcPr>
            <w:tcW w:w="2623" w:type="dxa"/>
            <w:tcBorders>
              <w:tl2br w:val="nil"/>
              <w:tr2bl w:val="nil"/>
            </w:tcBorders>
          </w:tcPr>
          <w:p>
            <w:pPr>
              <w:pStyle w:val="557"/>
              <w:rPr>
                <w:rFonts w:ascii="Times New Roman" w:eastAsia="宋体" w:hAnsi="Times New Roman"/>
                <w:color w:val="auto"/>
                <w:sz w:val="24"/>
                <w:szCs w:val="24"/>
              </w:rPr>
            </w:pPr>
          </w:p>
        </w:tc>
        <w:tc>
          <w:tcPr>
            <w:tcW w:w="2631" w:type="dxa"/>
            <w:tcBorders>
              <w:tl2br w:val="nil"/>
              <w:tr2bl w:val="nil"/>
            </w:tcBorders>
          </w:tcPr>
          <w:p>
            <w:pPr>
              <w:pStyle w:val="557"/>
              <w:rPr>
                <w:rFonts w:ascii="Times New Roman" w:eastAsia="宋体" w:hAnsi="Times New Roman"/>
                <w:color w:val="auto"/>
                <w:sz w:val="24"/>
                <w:szCs w:val="24"/>
              </w:rPr>
            </w:pPr>
          </w:p>
        </w:tc>
      </w:tr>
    </w:tbl>
    <w:p>
      <w:pPr>
        <w:pStyle w:val="557"/>
        <w:spacing w:before="94" w:line="180" w:lineRule="auto"/>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r>
        <w:rPr>
          <w:rFonts w:ascii="方正仿宋_GBK" w:eastAsia="方正仿宋_GBK" w:cs="方正仿宋_GBK" w:hint="eastAsia"/>
          <w:color w:val="auto"/>
          <w:spacing w:val="-6"/>
          <w:sz w:val="24"/>
          <w:szCs w:val="24"/>
        </w:rPr>
        <w:t>注：</w:t>
      </w:r>
      <w:r>
        <w:rPr>
          <w:rFonts w:ascii="方正仿宋_GBK" w:eastAsia="方正仿宋_GBK" w:cs="方正仿宋_GBK" w:hint="eastAsia"/>
          <w:bCs/>
          <w:color w:val="auto"/>
          <w:spacing w:val="-6"/>
          <w:sz w:val="24"/>
          <w:szCs w:val="24"/>
        </w:rPr>
        <w:t>茂名海关综合技术服务中心无</w:t>
      </w:r>
      <w:r>
        <w:rPr>
          <w:rFonts w:eastAsia="方正仿宋_GBK" w:hint="eastAsia"/>
          <w:sz w:val="24"/>
        </w:rPr>
        <w:t>2025年</w:t>
      </w:r>
      <w:r>
        <w:rPr>
          <w:rFonts w:ascii="方正仿宋_GBK" w:eastAsia="方正仿宋_GBK" w:cs="方正仿宋_GBK" w:hint="eastAsia"/>
          <w:bCs/>
          <w:color w:val="auto"/>
          <w:spacing w:val="-6"/>
          <w:sz w:val="24"/>
          <w:szCs w:val="24"/>
        </w:rPr>
        <w:t>国有资本经营预算收入，也无使</w:t>
      </w:r>
      <w:r>
        <w:rPr>
          <w:rFonts w:ascii="方正仿宋_GBK" w:eastAsia="方正仿宋_GBK" w:cs="方正仿宋_GBK" w:hint="eastAsia"/>
          <w:color w:val="auto"/>
          <w:spacing w:val="-6"/>
          <w:sz w:val="24"/>
          <w:szCs w:val="24"/>
        </w:rPr>
        <w:t>用国有资本经营预算安排的支出，故本表无数据。</w:t>
      </w: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pPr>
    </w:p>
    <w:p>
      <w:pPr>
        <w:pStyle w:val="557"/>
        <w:spacing w:before="94" w:line="180" w:lineRule="auto"/>
        <w:ind w:firstLineChars="663" w:firstLine="1512"/>
        <w:rPr>
          <w:rFonts w:ascii="方正仿宋_GBK" w:eastAsia="方正仿宋_GBK" w:cs="方正仿宋_GBK"/>
          <w:color w:val="auto"/>
          <w:spacing w:val="-6"/>
          <w:sz w:val="24"/>
          <w:szCs w:val="24"/>
        </w:rPr>
        <w:sectPr>
          <w:pgSz w:w="16841" w:h="11907" w:orient="landscape"/>
          <w:pgMar w:top="1431" w:right="638" w:bottom="0" w:left="451" w:header="0" w:footer="0" w:gutter="0"/>
          <w:docGrid w:linePitch="285" w:charSpace="0"/>
        </w:sectPr>
      </w:pPr>
    </w:p>
    <w:p>
      <w:pPr>
        <w:pStyle w:val="548"/>
        <w:jc w:val="right"/>
        <w:rPr>
          <w:rFonts w:ascii="Times New Roman" w:eastAsia="宋体" w:hAnsi="Times New Roman"/>
          <w:color w:val="auto"/>
        </w:rPr>
      </w:pPr>
    </w:p>
    <w:p>
      <w:pPr>
        <w:pStyle w:val="527"/>
        <w:ind w:right="1200"/>
        <w:jc w:val="right"/>
        <w:rPr>
          <w:rFonts w:ascii="黑体" w:eastAsia="黑体" w:cs="黑体"/>
          <w:b/>
          <w:sz w:val="20"/>
          <w:szCs w:val="20"/>
        </w:rPr>
      </w:pPr>
      <w:r>
        <w:rPr>
          <w:rFonts w:ascii="黑体" w:eastAsia="黑体" w:cs="黑体" w:hint="eastAsia"/>
          <w:b/>
          <w:snapToGrid w:val="0"/>
          <w:sz w:val="20"/>
          <w:szCs w:val="20"/>
        </w:rPr>
        <w:t>部门公开表 9</w:t>
      </w:r>
    </w:p>
    <w:p>
      <w:pPr>
        <w:pStyle w:val="527"/>
        <w:jc w:val="center"/>
        <w:rPr>
          <w:rFonts w:cs="Microsoft JhengHei"/>
          <w:b/>
          <w:snapToGrid w:val="0"/>
          <w:sz w:val="36"/>
          <w:szCs w:val="36"/>
        </w:rPr>
      </w:pPr>
      <w:r>
        <w:rPr>
          <w:rFonts w:cs="Microsoft JhengHei" w:hint="eastAsia"/>
          <w:b/>
          <w:snapToGrid w:val="0"/>
          <w:sz w:val="36"/>
          <w:szCs w:val="36"/>
        </w:rPr>
        <w:t>财政拨款预算“三公”经费支出表</w:t>
      </w:r>
    </w:p>
    <w:p>
      <w:pPr>
        <w:pStyle w:val="549"/>
        <w:spacing w:before="65" w:line="180" w:lineRule="auto"/>
        <w:ind w:right="388"/>
        <w:jc w:val="center"/>
        <w:rPr>
          <w:rFonts w:ascii="Times New Roman" w:eastAsia="宋体" w:cs="Microsoft JhengHei" w:hAnsi="Times New Roman"/>
          <w:color w:val="auto"/>
          <w:sz w:val="20"/>
          <w:szCs w:val="20"/>
        </w:rPr>
      </w:pPr>
      <w:r>
        <w:rPr>
          <w:rFonts w:ascii="Times New Roman" w:eastAsia="宋体" w:cs="Microsoft JhengHei" w:hAnsi="Times New Roman" w:hint="eastAsia"/>
          <w:color w:val="auto"/>
          <w:spacing w:val="-3"/>
          <w:sz w:val="20"/>
          <w:szCs w:val="20"/>
        </w:rPr>
        <w:t xml:space="preserve">                                                                                                                            单位：万元</w:t>
      </w:r>
    </w:p>
    <w:tbl>
      <w:tblPr>
        <w:jc w:val="left"/>
        <w:tblInd w:w="1462" w:type="dxa"/>
        <w:tblW w:w="13193"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985"/>
        <w:gridCol w:w="2409"/>
        <w:gridCol w:w="1701"/>
        <w:gridCol w:w="2268"/>
        <w:gridCol w:w="2552"/>
        <w:gridCol w:w="2268"/>
      </w:tblGrid>
      <w:tr>
        <w:trPr>
          <w:trHeight w:val="420"/>
        </w:trPr>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“三公”经费合计</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因公出国（境）费</w:t>
            </w:r>
          </w:p>
        </w:tc>
        <w:tc>
          <w:tcPr>
            <w:tcW w:w="6521"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公务用车购置及运行费</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公务接待费</w:t>
            </w:r>
          </w:p>
        </w:tc>
      </w:tr>
      <w:tr>
        <w:trPr>
          <w:trHeight w:val="420"/>
        </w:trPr>
        <w:tc>
          <w:tcPr>
            <w:tcW w:w="1985" w:type="dxa"/>
            <w:vMerge/>
            <w:tcBorders>
              <w:top w:val="single" w:sz="4" w:space="0" w:color="000000"/>
              <w:left w:val="single" w:sz="4" w:space="0" w:color="000000"/>
              <w:bottom w:val="single" w:sz="4" w:space="0" w:color="000000"/>
              <w:right w:val="single" w:sz="4" w:space="0" w:color="000000"/>
            </w:tcBorders>
            <w:vAlign w:val="center"/>
          </w:tcPr>
          <w:p/>
        </w:tc>
        <w:tc>
          <w:tcPr>
            <w:tcW w:w="2409" w:type="dxa"/>
            <w:vMerge/>
            <w:tcBorders>
              <w:top w:val="single" w:sz="4" w:space="0" w:color="000000"/>
              <w:left w:val="single" w:sz="4" w:space="0" w:color="000000"/>
              <w:bottom w:val="single" w:sz="4" w:space="0" w:color="000000"/>
              <w:right w:val="single" w:sz="4" w:space="0" w:color="000000"/>
            </w:tcBorders>
            <w:vAlign w:val="center"/>
          </w:tcPr>
          <w:p/>
        </w:tc>
        <w:tc>
          <w:tcPr>
            <w:tcW w:w="1701"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小计</w:t>
            </w:r>
          </w:p>
        </w:tc>
        <w:tc>
          <w:tcPr>
            <w:tcW w:w="2268"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公务用车购置费</w:t>
            </w:r>
          </w:p>
        </w:tc>
        <w:tc>
          <w:tcPr>
            <w:tcW w:w="2552" w:type="dxa"/>
            <w:tcBorders>
              <w:top w:val="nil"/>
              <w:left w:val="nil"/>
              <w:bottom w:val="single" w:sz="4" w:space="0" w:color="000000"/>
              <w:right w:val="single" w:sz="4" w:space="0" w:color="000000"/>
            </w:tcBorders>
            <w:shd w:val="clear" w:color="auto" w:fill="auto"/>
            <w:vAlign w:val="center"/>
          </w:tcPr>
          <w:p>
            <w:pPr>
              <w:widowControl/>
              <w:jc w:val="center"/>
              <w:rPr>
                <w:rFonts w:ascii="宋体" w:cs="宋体"/>
                <w:kern w:val="0"/>
                <w:sz w:val="20"/>
                <w:szCs w:val="20"/>
              </w:rPr>
            </w:pPr>
            <w:r>
              <w:rPr>
                <w:rFonts w:ascii="宋体" w:cs="宋体" w:hint="eastAsia"/>
                <w:kern w:val="0"/>
                <w:sz w:val="20"/>
                <w:szCs w:val="20"/>
              </w:rPr>
              <w:t>公务用车运行费</w:t>
            </w:r>
          </w:p>
        </w:tc>
        <w:tc>
          <w:tcPr>
            <w:tcW w:w="2268" w:type="dxa"/>
            <w:vMerge/>
            <w:tcBorders>
              <w:top w:val="single" w:sz="4" w:space="0" w:color="000000"/>
              <w:left w:val="single" w:sz="4" w:space="0" w:color="000000"/>
              <w:bottom w:val="single" w:sz="4" w:space="0" w:color="000000"/>
              <w:right w:val="single" w:sz="4" w:space="0" w:color="000000"/>
            </w:tcBorders>
            <w:vAlign w:val="center"/>
          </w:tcPr>
          <w:p/>
        </w:tc>
      </w:tr>
      <w:tr>
        <w:trPr>
          <w:trHeight w:val="450"/>
        </w:trPr>
        <w:tc>
          <w:tcPr>
            <w:tcW w:w="1985" w:type="dxa"/>
            <w:tcBorders>
              <w:top w:val="nil"/>
              <w:left w:val="single" w:sz="4" w:space="0" w:color="000000"/>
              <w:bottom w:val="single" w:sz="4" w:space="0" w:color="000000"/>
              <w:right w:val="single" w:sz="4" w:space="0" w:color="000000"/>
            </w:tcBorders>
            <w:shd w:val="clear" w:color="auto" w:fill="auto"/>
            <w:vAlign w:val="center"/>
          </w:tcPr>
          <w:p>
            <w:pPr>
              <w:widowControl/>
              <w:jc w:val="right"/>
              <w:rPr>
                <w:rFonts w:ascii="微软雅黑" w:eastAsia="微软雅黑" w:cs="宋体"/>
                <w:kern w:val="0"/>
                <w:sz w:val="20"/>
                <w:szCs w:val="20"/>
              </w:rPr>
            </w:pPr>
            <w:r>
              <w:rPr>
                <w:rFonts w:ascii="微软雅黑" w:eastAsia="微软雅黑" w:cs="宋体" w:hint="eastAsia"/>
                <w:kern w:val="0"/>
                <w:sz w:val="20"/>
                <w:szCs w:val="20"/>
              </w:rPr>
              <w:t>0.4</w:t>
            </w:r>
            <w:r>
              <w:rPr>
                <w:rFonts w:ascii="微软雅黑" w:eastAsia="微软雅黑" w:cs="宋体"/>
                <w:kern w:val="0"/>
                <w:sz w:val="20"/>
                <w:szCs w:val="20"/>
              </w:rPr>
              <w:t>5</w:t>
            </w:r>
          </w:p>
        </w:tc>
        <w:tc>
          <w:tcPr>
            <w:tcW w:w="2409" w:type="dxa"/>
            <w:tcBorders>
              <w:top w:val="nil"/>
              <w:left w:val="nil"/>
              <w:bottom w:val="single" w:sz="4" w:space="0" w:color="000000"/>
              <w:right w:val="single" w:sz="4" w:space="0" w:color="000000"/>
            </w:tcBorders>
            <w:shd w:val="clear" w:color="auto" w:fill="auto"/>
            <w:vAlign w:val="center"/>
          </w:tcPr>
          <w:p>
            <w:pPr>
              <w:widowControl/>
              <w:jc w:val="right"/>
              <w:rPr>
                <w:rFonts w:ascii="Arial" w:cs="Arial" w:hAnsi="Arial"/>
                <w:kern w:val="0"/>
                <w:sz w:val="20"/>
                <w:szCs w:val="20"/>
              </w:rPr>
            </w:pPr>
            <w:r>
              <w:rPr>
                <w:rFonts w:ascii="Arial" w:cs="Arial" w:hAnsi="Arial"/>
                <w:kern w:val="0"/>
                <w:sz w:val="20"/>
                <w:szCs w:val="20"/>
              </w:rPr>
              <w:t>　</w:t>
            </w:r>
          </w:p>
        </w:tc>
        <w:tc>
          <w:tcPr>
            <w:tcW w:w="1701" w:type="dxa"/>
            <w:tcBorders>
              <w:top w:val="nil"/>
              <w:left w:val="nil"/>
              <w:bottom w:val="single" w:sz="4" w:space="0" w:color="000000"/>
              <w:right w:val="single" w:sz="4" w:space="0" w:color="000000"/>
            </w:tcBorders>
            <w:shd w:val="clear" w:color="auto" w:fill="auto"/>
            <w:noWrap/>
            <w:vAlign w:val="center"/>
          </w:tcPr>
          <w:p>
            <w:pPr>
              <w:widowControl/>
              <w:jc w:val="right"/>
              <w:rPr>
                <w:rFonts w:ascii="Arial" w:cs="Arial" w:hAnsi="Arial"/>
                <w:kern w:val="0"/>
                <w:sz w:val="20"/>
                <w:szCs w:val="20"/>
              </w:rPr>
            </w:pPr>
            <w:r>
              <w:rPr>
                <w:rFonts w:ascii="Arial" w:cs="Arial" w:hAnsi="Arial"/>
                <w:kern w:val="0"/>
                <w:sz w:val="20"/>
                <w:szCs w:val="20"/>
              </w:rPr>
              <w:t>　</w:t>
            </w:r>
          </w:p>
        </w:tc>
        <w:tc>
          <w:tcPr>
            <w:tcW w:w="2268" w:type="dxa"/>
            <w:tcBorders>
              <w:top w:val="nil"/>
              <w:left w:val="nil"/>
              <w:bottom w:val="single" w:sz="4" w:space="0" w:color="000000"/>
              <w:right w:val="single" w:sz="4" w:space="0" w:color="000000"/>
            </w:tcBorders>
            <w:shd w:val="clear" w:color="auto" w:fill="auto"/>
            <w:noWrap/>
            <w:vAlign w:val="center"/>
          </w:tcPr>
          <w:p>
            <w:pPr>
              <w:widowControl/>
              <w:jc w:val="right"/>
              <w:rPr>
                <w:rFonts w:ascii="Arial" w:cs="Arial" w:hAnsi="Arial"/>
                <w:kern w:val="0"/>
                <w:sz w:val="20"/>
                <w:szCs w:val="20"/>
              </w:rPr>
            </w:pPr>
            <w:r>
              <w:rPr>
                <w:rFonts w:ascii="Arial" w:cs="Arial" w:hAnsi="Arial"/>
                <w:kern w:val="0"/>
                <w:sz w:val="20"/>
                <w:szCs w:val="20"/>
              </w:rPr>
              <w:t>　</w:t>
            </w:r>
          </w:p>
        </w:tc>
        <w:tc>
          <w:tcPr>
            <w:tcW w:w="2552" w:type="dxa"/>
            <w:tcBorders>
              <w:top w:val="nil"/>
              <w:left w:val="nil"/>
              <w:bottom w:val="single" w:sz="4" w:space="0" w:color="000000"/>
              <w:right w:val="single" w:sz="4" w:space="0" w:color="000000"/>
            </w:tcBorders>
            <w:shd w:val="clear" w:color="auto" w:fill="auto"/>
            <w:noWrap/>
            <w:vAlign w:val="center"/>
          </w:tcPr>
          <w:p>
            <w:pPr>
              <w:widowControl/>
              <w:jc w:val="right"/>
              <w:rPr>
                <w:rFonts w:ascii="微软雅黑" w:eastAsia="微软雅黑" w:cs="宋体"/>
                <w:kern w:val="0"/>
                <w:sz w:val="20"/>
                <w:szCs w:val="20"/>
              </w:rPr>
            </w:pPr>
            <w:r>
              <w:rPr>
                <w:rFonts w:ascii="微软雅黑" w:eastAsia="微软雅黑" w:cs="宋体" w:hint="eastAsia"/>
                <w:kern w:val="0"/>
                <w:sz w:val="20"/>
                <w:szCs w:val="20"/>
              </w:rPr>
              <w:t>　</w:t>
            </w:r>
          </w:p>
        </w:tc>
        <w:tc>
          <w:tcPr>
            <w:tcW w:w="2268" w:type="dxa"/>
            <w:tcBorders>
              <w:top w:val="nil"/>
              <w:left w:val="nil"/>
              <w:bottom w:val="single" w:sz="4" w:space="0" w:color="000000"/>
              <w:right w:val="single" w:sz="4" w:space="0" w:color="000000"/>
            </w:tcBorders>
            <w:shd w:val="clear" w:color="auto" w:fill="auto"/>
            <w:noWrap/>
            <w:vAlign w:val="center"/>
          </w:tcPr>
          <w:p>
            <w:pPr>
              <w:widowControl/>
              <w:jc w:val="right"/>
              <w:rPr>
                <w:rFonts w:ascii="Arial" w:cs="Arial" w:hAnsi="Arial"/>
                <w:kern w:val="0"/>
                <w:sz w:val="20"/>
                <w:szCs w:val="20"/>
              </w:rPr>
            </w:pPr>
            <w:r>
              <w:rPr>
                <w:rFonts w:ascii="Arial" w:cs="Arial" w:hAnsi="Arial"/>
                <w:kern w:val="0"/>
                <w:sz w:val="20"/>
                <w:szCs w:val="20"/>
              </w:rPr>
              <w:t>0.45</w:t>
            </w:r>
          </w:p>
        </w:tc>
      </w:tr>
    </w:tbl>
    <w:p>
      <w:pPr>
        <w:pStyle w:val="548"/>
        <w:rPr>
          <w:rFonts w:ascii="Times New Roman" w:eastAsia="宋体" w:hAnsi="Times New Roman"/>
          <w:color w:val="auto"/>
        </w:rPr>
        <w:sectPr>
          <w:type w:val="continuous"/>
          <w:pgSz w:w="16841" w:h="11907" w:orient="landscape"/>
          <w:pgMar w:top="1431" w:right="638" w:bottom="0" w:left="451" w:header="0" w:footer="0" w:gutter="0"/>
          <w:docGrid w:linePitch="285" w:charSpace="0"/>
        </w:sectPr>
      </w:pPr>
    </w:p>
    <w:p>
      <w:pPr>
        <w:pStyle w:val="639"/>
        <w:jc w:val="center"/>
        <w:rPr>
          <w:b/>
          <w:sz w:val="84"/>
          <w:szCs w:val="84"/>
        </w:rPr>
      </w:pPr>
    </w:p>
    <w:p>
      <w:pPr>
        <w:pStyle w:val="639"/>
        <w:jc w:val="center"/>
        <w:rPr>
          <w:b/>
          <w:sz w:val="84"/>
          <w:szCs w:val="84"/>
        </w:rPr>
      </w:pPr>
    </w:p>
    <w:p>
      <w:pPr>
        <w:pStyle w:val="639"/>
        <w:jc w:val="center"/>
        <w:rPr>
          <w:b/>
          <w:sz w:val="84"/>
          <w:szCs w:val="84"/>
        </w:rPr>
      </w:pPr>
    </w:p>
    <w:p>
      <w:pPr>
        <w:pStyle w:val="639"/>
        <w:jc w:val="center"/>
        <w:rPr>
          <w:b/>
          <w:sz w:val="84"/>
          <w:szCs w:val="84"/>
        </w:rPr>
      </w:pPr>
    </w:p>
    <w:p>
      <w:pPr>
        <w:pStyle w:val="639"/>
        <w:jc w:val="center"/>
        <w:rPr>
          <w:b/>
          <w:sz w:val="84"/>
          <w:szCs w:val="84"/>
        </w:rPr>
      </w:pPr>
    </w:p>
    <w:p>
      <w:pPr>
        <w:jc w:val="center"/>
        <w:rPr>
          <w:b/>
          <w:sz w:val="84"/>
          <w:szCs w:val="84"/>
        </w:rPr>
      </w:pPr>
      <w:r>
        <w:rPr>
          <w:rFonts w:hint="eastAsia"/>
          <w:b/>
          <w:sz w:val="84"/>
          <w:szCs w:val="84"/>
        </w:rPr>
        <w:t xml:space="preserve">第三部分  </w:t>
      </w:r>
    </w:p>
    <w:p>
      <w:pPr>
        <w:jc w:val="center"/>
        <w:rPr>
          <w:b/>
          <w:sz w:val="84"/>
          <w:szCs w:val="84"/>
        </w:rPr>
      </w:pPr>
      <w:r>
        <w:rPr>
          <w:rFonts w:hint="eastAsia"/>
          <w:b/>
          <w:sz w:val="84"/>
          <w:szCs w:val="84"/>
        </w:rPr>
        <w:t>202</w:t>
      </w:r>
      <w:r>
        <w:rPr>
          <w:b/>
          <w:sz w:val="84"/>
          <w:szCs w:val="84"/>
        </w:rPr>
        <w:t>5</w:t>
      </w:r>
      <w:r>
        <w:rPr>
          <w:rFonts w:hint="eastAsia"/>
          <w:b/>
          <w:sz w:val="84"/>
          <w:szCs w:val="84"/>
        </w:rPr>
        <w:t>年部门预算情况说明</w:t>
      </w: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pPr>
    </w:p>
    <w:p>
      <w:pPr>
        <w:jc w:val="center"/>
        <w:rPr>
          <w:b/>
          <w:sz w:val="84"/>
          <w:szCs w:val="84"/>
        </w:rPr>
        <w:sectPr>
          <w:pgSz w:w="11907" w:h="16841"/>
          <w:pgMar w:top="1431" w:right="451" w:bottom="0" w:left="451" w:header="0" w:footer="0" w:gutter="0"/>
          <w:docGrid w:linePitch="285" w:charSpace="0"/>
        </w:sectPr>
      </w:pPr>
    </w:p>
    <w:p>
      <w:pPr>
        <w:pStyle w:val="640"/>
        <w:spacing w:line="560" w:lineRule="exact"/>
        <w:ind w:firstLineChars="200" w:firstLine="640"/>
        <w:rPr>
          <w:rFonts w:eastAsia="方正黑体_GBK"/>
          <w:sz w:val="32"/>
          <w:szCs w:val="32"/>
        </w:rPr>
      </w:pPr>
      <w:r>
        <w:rPr>
          <w:rFonts w:eastAsia="方正黑体_GBK"/>
          <w:sz w:val="32"/>
          <w:szCs w:val="32"/>
        </w:rPr>
        <w:t>一、关于</w:t>
      </w:r>
      <w:r>
        <w:rPr>
          <w:rFonts w:eastAsia="方正黑体_GBK" w:hint="eastAsia"/>
          <w:sz w:val="32"/>
          <w:szCs w:val="32"/>
        </w:rPr>
        <w:t>茂名海关综合技术服务中心</w:t>
      </w:r>
      <w:r>
        <w:rPr>
          <w:rFonts w:eastAsia="方正黑体_GBK"/>
          <w:sz w:val="32"/>
          <w:szCs w:val="32"/>
        </w:rPr>
        <w:t>2025年收支预算情况的总体说明</w:t>
      </w:r>
    </w:p>
    <w:p>
      <w:pPr>
        <w:pStyle w:val="640"/>
        <w:spacing w:line="560" w:lineRule="exact"/>
        <w:ind w:firstLineChars="200" w:firstLine="640"/>
        <w:rPr>
          <w:rFonts w:eastAsia="方正仿宋_GBK"/>
          <w:sz w:val="32"/>
          <w:szCs w:val="32"/>
        </w:rPr>
      </w:pPr>
      <w:r>
        <w:rPr>
          <w:rFonts w:eastAsia="方正仿宋_GBK"/>
          <w:sz w:val="32"/>
          <w:szCs w:val="32"/>
        </w:rPr>
        <w:t>按照综合预算的原则，</w:t>
      </w:r>
      <w:r>
        <w:rPr>
          <w:rFonts w:eastAsia="方正仿宋_GBK" w:hint="eastAsia"/>
          <w:sz w:val="32"/>
          <w:szCs w:val="32"/>
        </w:rPr>
        <w:t>茂名海关综合技术服务中心</w:t>
      </w:r>
      <w:r>
        <w:rPr>
          <w:rFonts w:eastAsia="方正仿宋_GBK"/>
          <w:sz w:val="32"/>
          <w:szCs w:val="32"/>
        </w:rPr>
        <w:t>所有收入和支出均纳入部门预算管理。收入包括：一般公共预算拨款收入、事业收入、其他收入、使用非财政拨款结余、上年结转；支出包括：一般公共服务支出、社会保障和就业支出、住房保障支出、其他支出。</w:t>
      </w:r>
      <w:r>
        <w:rPr>
          <w:rFonts w:eastAsia="方正仿宋_GBK" w:hint="eastAsia"/>
          <w:sz w:val="32"/>
          <w:szCs w:val="32"/>
        </w:rPr>
        <w:t>茂名海关综合技术服务中心</w:t>
      </w:r>
      <w:r>
        <w:rPr>
          <w:rFonts w:eastAsia="方正仿宋_GBK"/>
          <w:sz w:val="32"/>
          <w:szCs w:val="32"/>
        </w:rPr>
        <w:t>2025年收支总预算3238.43万元。</w:t>
      </w:r>
    </w:p>
    <w:p>
      <w:pPr>
        <w:pStyle w:val="640"/>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茂名海关综合技术服务中心</w:t>
      </w:r>
      <w:r>
        <w:rPr>
          <w:rFonts w:eastAsia="方正黑体_GBK"/>
          <w:sz w:val="32"/>
          <w:szCs w:val="32"/>
        </w:rPr>
        <w:t>2025年收入预算情况说明</w:t>
      </w:r>
    </w:p>
    <w:p>
      <w:pPr>
        <w:pStyle w:val="640"/>
        <w:spacing w:line="560" w:lineRule="exact"/>
        <w:ind w:firstLineChars="200" w:firstLine="640"/>
        <w:rPr>
          <w:rFonts w:eastAsia="方正仿宋_GBK"/>
          <w:sz w:val="32"/>
          <w:szCs w:val="32"/>
        </w:rPr>
      </w:pPr>
      <w:r>
        <w:rPr>
          <w:rFonts w:eastAsia="方正仿宋_GBK" w:hint="eastAsia"/>
          <w:sz w:val="32"/>
          <w:szCs w:val="32"/>
        </w:rPr>
        <w:t>茂名海关综合技术服务中心</w:t>
      </w:r>
      <w:r>
        <w:rPr>
          <w:rFonts w:eastAsia="方正仿宋_GBK"/>
          <w:sz w:val="32"/>
          <w:szCs w:val="32"/>
        </w:rPr>
        <w:t>2025年收入预算3238.43万元，其中：上年结转220.53万元，占6</w:t>
      </w:r>
      <w:r>
        <w:rPr>
          <w:rFonts w:eastAsia="方正仿宋_GBK" w:hint="eastAsia"/>
          <w:sz w:val="32"/>
          <w:szCs w:val="32"/>
        </w:rPr>
        <w:t>.</w:t>
      </w:r>
      <w:r>
        <w:rPr>
          <w:rFonts w:eastAsia="方正仿宋_GBK"/>
          <w:sz w:val="32"/>
          <w:szCs w:val="32"/>
        </w:rPr>
        <w:t>81%；一般公共预算财政拨款</w:t>
      </w:r>
      <w:r>
        <w:rPr>
          <w:rFonts w:eastAsia="方正仿宋_GBK" w:hint="eastAsia"/>
          <w:sz w:val="32"/>
          <w:szCs w:val="32"/>
        </w:rPr>
        <w:t>5</w:t>
      </w:r>
      <w:r>
        <w:rPr>
          <w:rFonts w:eastAsia="方正仿宋_GBK"/>
          <w:sz w:val="32"/>
          <w:szCs w:val="32"/>
        </w:rPr>
        <w:t>1</w:t>
      </w:r>
      <w:r>
        <w:rPr>
          <w:rFonts w:eastAsia="方正仿宋_GBK" w:hint="eastAsia"/>
          <w:sz w:val="32"/>
          <w:szCs w:val="32"/>
        </w:rPr>
        <w:t>4.</w:t>
      </w:r>
      <w:r>
        <w:rPr>
          <w:rFonts w:eastAsia="方正仿宋_GBK"/>
          <w:sz w:val="32"/>
          <w:szCs w:val="32"/>
        </w:rPr>
        <w:t>1</w:t>
      </w:r>
      <w:r>
        <w:rPr>
          <w:rFonts w:eastAsia="方正仿宋_GBK" w:hint="eastAsia"/>
          <w:sz w:val="32"/>
          <w:szCs w:val="32"/>
        </w:rPr>
        <w:t>0</w:t>
      </w:r>
      <w:r>
        <w:rPr>
          <w:rFonts w:eastAsia="方正仿宋_GBK"/>
          <w:sz w:val="32"/>
          <w:szCs w:val="32"/>
        </w:rPr>
        <w:t>万元，占</w:t>
      </w:r>
      <w:r>
        <w:rPr>
          <w:rFonts w:eastAsia="方正仿宋_GBK" w:hint="eastAsia"/>
          <w:sz w:val="32"/>
          <w:szCs w:val="32"/>
        </w:rPr>
        <w:t>1</w:t>
      </w:r>
      <w:r>
        <w:rPr>
          <w:rFonts w:eastAsia="方正仿宋_GBK"/>
          <w:sz w:val="32"/>
          <w:szCs w:val="32"/>
        </w:rPr>
        <w:t>5</w:t>
      </w:r>
      <w:r>
        <w:rPr>
          <w:rFonts w:eastAsia="方正仿宋_GBK" w:hint="eastAsia"/>
          <w:sz w:val="32"/>
          <w:szCs w:val="32"/>
        </w:rPr>
        <w:t>.87</w:t>
      </w:r>
      <w:r>
        <w:rPr>
          <w:rFonts w:eastAsia="方正仿宋_GBK"/>
          <w:sz w:val="32"/>
          <w:szCs w:val="32"/>
        </w:rPr>
        <w:t>%；事业收入2103</w:t>
      </w:r>
      <w:r>
        <w:rPr>
          <w:rFonts w:eastAsia="方正仿宋_GBK" w:hint="eastAsia"/>
          <w:sz w:val="32"/>
          <w:szCs w:val="32"/>
        </w:rPr>
        <w:t>.</w:t>
      </w:r>
      <w:r>
        <w:rPr>
          <w:rFonts w:eastAsia="方正仿宋_GBK"/>
          <w:sz w:val="32"/>
          <w:szCs w:val="32"/>
        </w:rPr>
        <w:t>77万元，占</w:t>
      </w:r>
      <w:r>
        <w:rPr>
          <w:rFonts w:eastAsia="方正仿宋_GBK" w:hint="eastAsia"/>
          <w:sz w:val="32"/>
          <w:szCs w:val="32"/>
        </w:rPr>
        <w:t>6</w:t>
      </w:r>
      <w:r>
        <w:rPr>
          <w:rFonts w:eastAsia="方正仿宋_GBK"/>
          <w:sz w:val="32"/>
          <w:szCs w:val="32"/>
        </w:rPr>
        <w:t>4</w:t>
      </w:r>
      <w:r>
        <w:rPr>
          <w:rFonts w:eastAsia="方正仿宋_GBK" w:hint="eastAsia"/>
          <w:sz w:val="32"/>
          <w:szCs w:val="32"/>
        </w:rPr>
        <w:t>.</w:t>
      </w:r>
      <w:r>
        <w:rPr>
          <w:rFonts w:eastAsia="方正仿宋_GBK"/>
          <w:sz w:val="32"/>
          <w:szCs w:val="32"/>
        </w:rPr>
        <w:t>96%；其他收入318万元，占9</w:t>
      </w:r>
      <w:r>
        <w:rPr>
          <w:rFonts w:eastAsia="方正仿宋_GBK" w:hint="eastAsia"/>
          <w:sz w:val="32"/>
          <w:szCs w:val="32"/>
        </w:rPr>
        <w:t>.8</w:t>
      </w:r>
      <w:r>
        <w:rPr>
          <w:rFonts w:eastAsia="方正仿宋_GBK"/>
          <w:sz w:val="32"/>
          <w:szCs w:val="32"/>
        </w:rPr>
        <w:t>2%；使用非财政拨款结余82</w:t>
      </w:r>
      <w:r>
        <w:rPr>
          <w:rFonts w:eastAsia="方正仿宋_GBK" w:hint="eastAsia"/>
          <w:sz w:val="32"/>
          <w:szCs w:val="32"/>
        </w:rPr>
        <w:t>.</w:t>
      </w:r>
      <w:r>
        <w:rPr>
          <w:rFonts w:eastAsia="方正仿宋_GBK"/>
          <w:sz w:val="32"/>
          <w:szCs w:val="32"/>
        </w:rPr>
        <w:t>0</w:t>
      </w:r>
      <w:r>
        <w:rPr>
          <w:rFonts w:eastAsia="方正仿宋_GBK" w:hint="eastAsia"/>
          <w:sz w:val="32"/>
          <w:szCs w:val="32"/>
        </w:rPr>
        <w:t>3</w:t>
      </w:r>
      <w:r>
        <w:rPr>
          <w:rFonts w:eastAsia="方正仿宋_GBK"/>
          <w:sz w:val="32"/>
          <w:szCs w:val="32"/>
        </w:rPr>
        <w:t>万元，占2</w:t>
      </w:r>
      <w:r>
        <w:rPr>
          <w:rFonts w:eastAsia="方正仿宋_GBK" w:hint="eastAsia"/>
          <w:sz w:val="32"/>
          <w:szCs w:val="32"/>
        </w:rPr>
        <w:t>.</w:t>
      </w:r>
      <w:r>
        <w:rPr>
          <w:rFonts w:eastAsia="方正仿宋_GBK"/>
          <w:sz w:val="32"/>
          <w:szCs w:val="32"/>
        </w:rPr>
        <w:t>53%。</w:t>
      </w:r>
    </w:p>
    <w:p>
      <w:pPr>
        <w:pStyle w:val="640"/>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5" behindDoc="0" locked="0" layoutInCell="1" hidden="0" allowOverlap="1">
            <wp:simplePos x="0" y="0"/>
            <wp:positionH relativeFrom="column">
              <wp:posOffset>295270</wp:posOffset>
            </wp:positionH>
            <wp:positionV relativeFrom="paragraph">
              <wp:posOffset>184210</wp:posOffset>
            </wp:positionV>
            <wp:extent cx="4771952" cy="3067003"/>
            <wp:effectExtent l="0" t="0" r="0" b="0"/>
            <wp:wrapNone/>
            <wp:docPr id="4" name="图片 4"/>
            <wp:cNvGraphicFramePr>
              <a:graphicFrameLocks noChangeAspect="1"/>
            </wp:cNvGraphicFramePr>
            <a:graphic>
              <a:graphicData uri="http://schemas.openxmlformats.org/drawingml/2006/picture">
                <pic:pic>
                  <pic:nvPicPr>
                    <pic:cNvPr id="6" name="图片 4 6"/>
                    <pic:cNvPicPr/>
                  </pic:nvPicPr>
                  <pic:blipFill>
                    <a:blip r:embed="rId4"/>
                    <a:stretch>
                      <a:fillRect/>
                    </a:stretch>
                  </pic:blipFill>
                  <pic:spPr>
                    <a:xfrm rot="0">
                      <a:off x="0" y="0"/>
                      <a:ext cx="4771952" cy="3067003"/>
                    </a:xfrm>
                    <a:prstGeom prst="rect"/>
                    <a:noFill/>
                    <a:ln w="9525" cmpd="sng" cap="flat">
                      <a:noFill/>
                      <a:prstDash val="solid"/>
                      <a:miter/>
                    </a:ln>
                  </pic:spPr>
                </pic:pic>
              </a:graphicData>
            </a:graphic>
          </wp:anchor>
        </w:drawing>
      </w:r>
    </w:p>
    <w:p>
      <w:pPr>
        <w:pStyle w:val="640"/>
        <w:spacing w:line="560" w:lineRule="exact"/>
        <w:ind w:firstLine="644"/>
        <w:jc w:val="left"/>
      </w:pPr>
    </w:p>
    <w:p>
      <w:pPr>
        <w:pStyle w:val="640"/>
        <w:spacing w:line="560" w:lineRule="exact"/>
        <w:ind w:firstLine="644"/>
        <w:jc w:val="left"/>
      </w:pPr>
    </w:p>
    <w:p>
      <w:pPr>
        <w:pStyle w:val="640"/>
        <w:spacing w:line="560" w:lineRule="exact"/>
        <w:ind w:firstLine="644"/>
        <w:jc w:val="left"/>
      </w:pPr>
    </w:p>
    <w:p>
      <w:pPr>
        <w:pStyle w:val="640"/>
        <w:spacing w:line="560" w:lineRule="exact"/>
        <w:ind w:firstLine="644"/>
        <w:jc w:val="left"/>
      </w:pPr>
    </w:p>
    <w:p>
      <w:pPr>
        <w:pStyle w:val="640"/>
        <w:spacing w:line="560" w:lineRule="exact"/>
        <w:ind w:firstLine="644"/>
        <w:jc w:val="left"/>
      </w:pPr>
    </w:p>
    <w:p>
      <w:pPr>
        <w:pStyle w:val="640"/>
        <w:spacing w:line="560" w:lineRule="exact"/>
        <w:jc w:val="left"/>
      </w:pPr>
    </w:p>
    <w:p>
      <w:pPr>
        <w:pStyle w:val="640"/>
        <w:spacing w:line="560" w:lineRule="exact"/>
        <w:ind w:firstLineChars="200" w:firstLine="640"/>
        <w:rPr>
          <w:rFonts w:eastAsia="方正黑体_GBK"/>
          <w:sz w:val="32"/>
          <w:szCs w:val="32"/>
        </w:rPr>
      </w:pPr>
    </w:p>
    <w:p>
      <w:pPr>
        <w:pStyle w:val="640"/>
        <w:spacing w:line="560" w:lineRule="exact"/>
        <w:ind w:firstLineChars="200" w:firstLine="640"/>
        <w:rPr>
          <w:rFonts w:eastAsia="方正黑体_GBK"/>
          <w:sz w:val="32"/>
          <w:szCs w:val="32"/>
        </w:rPr>
      </w:pPr>
      <w:r>
        <w:rPr>
          <w:rFonts w:eastAsia="方正黑体_GBK" w:hint="eastAsia"/>
          <w:sz w:val="32"/>
          <w:szCs w:val="32"/>
        </w:rPr>
        <w:t>三、关于茂名海关综合技术服务中心</w:t>
      </w:r>
      <w:r>
        <w:rPr>
          <w:rFonts w:eastAsia="方正黑体_GBK"/>
          <w:sz w:val="32"/>
          <w:szCs w:val="32"/>
        </w:rPr>
        <w:t>2025</w:t>
      </w:r>
      <w:r>
        <w:rPr>
          <w:rFonts w:eastAsia="方正黑体_GBK" w:hint="eastAsia"/>
          <w:sz w:val="32"/>
          <w:szCs w:val="32"/>
        </w:rPr>
        <w:t>年支出预算情况说明</w:t>
      </w:r>
    </w:p>
    <w:p>
      <w:pPr>
        <w:pStyle w:val="28"/>
        <w:spacing w:line="560" w:lineRule="exact"/>
        <w:ind w:firstLineChars="200" w:firstLine="640"/>
        <w:rPr>
          <w:rFonts w:eastAsia="方正仿宋_GBK"/>
          <w:sz w:val="32"/>
          <w:szCs w:val="32"/>
        </w:rPr>
      </w:pPr>
      <w:r>
        <w:rPr>
          <w:rFonts w:eastAsia="方正仿宋_GBK" w:hint="eastAsia"/>
          <w:sz w:val="32"/>
          <w:szCs w:val="32"/>
        </w:rPr>
        <w:t>茂名海关综合技术服务中心</w:t>
      </w:r>
      <w:r>
        <w:rPr>
          <w:rFonts w:eastAsia="方正仿宋_GBK"/>
          <w:sz w:val="32"/>
          <w:szCs w:val="32"/>
        </w:rPr>
        <w:t>2025</w:t>
      </w:r>
      <w:r>
        <w:rPr>
          <w:rFonts w:eastAsia="方正仿宋_GBK" w:hint="eastAsia"/>
          <w:sz w:val="32"/>
          <w:szCs w:val="32"/>
        </w:rPr>
        <w:t>年支出预算</w:t>
      </w:r>
      <w:r>
        <w:rPr>
          <w:rFonts w:eastAsia="方正仿宋_GBK"/>
          <w:sz w:val="32"/>
          <w:szCs w:val="32"/>
        </w:rPr>
        <w:t>3</w:t>
      </w:r>
      <w:r>
        <w:rPr>
          <w:rFonts w:eastAsia="方正仿宋_GBK" w:hint="eastAsia"/>
          <w:sz w:val="32"/>
          <w:szCs w:val="32"/>
        </w:rPr>
        <w:t>2</w:t>
      </w:r>
      <w:r>
        <w:rPr>
          <w:rFonts w:eastAsia="方正仿宋_GBK"/>
          <w:sz w:val="32"/>
          <w:szCs w:val="32"/>
        </w:rPr>
        <w:t>38</w:t>
      </w:r>
      <w:r>
        <w:rPr>
          <w:rFonts w:eastAsia="方正仿宋_GBK" w:hint="eastAsia"/>
          <w:sz w:val="32"/>
          <w:szCs w:val="32"/>
        </w:rPr>
        <w:t>.</w:t>
      </w:r>
      <w:r>
        <w:rPr>
          <w:rFonts w:eastAsia="方正仿宋_GBK"/>
          <w:sz w:val="32"/>
          <w:szCs w:val="32"/>
        </w:rPr>
        <w:t>43</w:t>
      </w:r>
      <w:r>
        <w:rPr>
          <w:rFonts w:eastAsia="方正仿宋_GBK" w:hint="eastAsia"/>
          <w:sz w:val="32"/>
          <w:szCs w:val="32"/>
        </w:rPr>
        <w:t>万元，其中：基本支出2</w:t>
      </w:r>
      <w:r>
        <w:rPr>
          <w:rFonts w:eastAsia="方正仿宋_GBK"/>
          <w:sz w:val="32"/>
          <w:szCs w:val="32"/>
        </w:rPr>
        <w:t>8</w:t>
      </w:r>
      <w:r>
        <w:rPr>
          <w:rFonts w:eastAsia="方正仿宋_GBK" w:hint="eastAsia"/>
          <w:sz w:val="32"/>
          <w:szCs w:val="32"/>
        </w:rPr>
        <w:t>5</w:t>
      </w:r>
      <w:r>
        <w:rPr>
          <w:rFonts w:eastAsia="方正仿宋_GBK"/>
          <w:sz w:val="32"/>
          <w:szCs w:val="32"/>
        </w:rPr>
        <w:t>1</w:t>
      </w:r>
      <w:r>
        <w:rPr>
          <w:rFonts w:eastAsia="方正仿宋_GBK" w:hint="eastAsia"/>
          <w:sz w:val="32"/>
          <w:szCs w:val="32"/>
        </w:rPr>
        <w:t>.</w:t>
      </w:r>
      <w:r>
        <w:rPr>
          <w:rFonts w:eastAsia="方正仿宋_GBK"/>
          <w:sz w:val="32"/>
          <w:szCs w:val="32"/>
        </w:rPr>
        <w:t>8</w:t>
      </w:r>
      <w:r>
        <w:rPr>
          <w:rFonts w:eastAsia="方正仿宋_GBK" w:hint="eastAsia"/>
          <w:sz w:val="32"/>
          <w:szCs w:val="32"/>
        </w:rPr>
        <w:t>5万元，占8</w:t>
      </w:r>
      <w:r>
        <w:rPr>
          <w:rFonts w:eastAsia="方正仿宋_GBK"/>
          <w:sz w:val="32"/>
          <w:szCs w:val="32"/>
        </w:rPr>
        <w:t>8</w:t>
      </w:r>
      <w:r>
        <w:rPr>
          <w:rFonts w:eastAsia="方正仿宋_GBK" w:hint="eastAsia"/>
          <w:sz w:val="32"/>
          <w:szCs w:val="32"/>
        </w:rPr>
        <w:t>.</w:t>
      </w:r>
      <w:r>
        <w:rPr>
          <w:rFonts w:eastAsia="方正仿宋_GBK"/>
          <w:sz w:val="32"/>
          <w:szCs w:val="32"/>
        </w:rPr>
        <w:t>06%</w:t>
      </w:r>
      <w:r>
        <w:rPr>
          <w:rFonts w:eastAsia="方正仿宋_GBK" w:hint="eastAsia"/>
          <w:sz w:val="32"/>
          <w:szCs w:val="32"/>
        </w:rPr>
        <w:t>；项目支出3</w:t>
      </w:r>
      <w:r>
        <w:rPr>
          <w:rFonts w:eastAsia="方正仿宋_GBK"/>
          <w:sz w:val="32"/>
          <w:szCs w:val="32"/>
        </w:rPr>
        <w:t>86</w:t>
      </w:r>
      <w:r>
        <w:rPr>
          <w:rFonts w:eastAsia="方正仿宋_GBK" w:hint="eastAsia"/>
          <w:sz w:val="32"/>
          <w:szCs w:val="32"/>
        </w:rPr>
        <w:t>.</w:t>
      </w:r>
      <w:r>
        <w:rPr>
          <w:rFonts w:eastAsia="方正仿宋_GBK"/>
          <w:sz w:val="32"/>
          <w:szCs w:val="32"/>
        </w:rPr>
        <w:t>58</w:t>
      </w:r>
      <w:r>
        <w:rPr>
          <w:rFonts w:eastAsia="方正仿宋_GBK" w:hint="eastAsia"/>
          <w:sz w:val="32"/>
          <w:szCs w:val="32"/>
        </w:rPr>
        <w:t>万元，占1</w:t>
      </w:r>
      <w:r>
        <w:rPr>
          <w:rFonts w:eastAsia="方正仿宋_GBK"/>
          <w:sz w:val="32"/>
          <w:szCs w:val="32"/>
        </w:rPr>
        <w:t>1</w:t>
      </w:r>
      <w:r>
        <w:rPr>
          <w:rFonts w:eastAsia="方正仿宋_GBK" w:hint="eastAsia"/>
          <w:sz w:val="32"/>
          <w:szCs w:val="32"/>
        </w:rPr>
        <w:t>.</w:t>
      </w:r>
      <w:r>
        <w:rPr>
          <w:rFonts w:eastAsia="方正仿宋_GBK"/>
          <w:sz w:val="32"/>
          <w:szCs w:val="32"/>
        </w:rPr>
        <w:t>94%</w:t>
      </w:r>
      <w:r>
        <w:rPr>
          <w:rFonts w:eastAsia="方正仿宋_GBK" w:hint="eastAsia"/>
          <w:sz w:val="32"/>
          <w:szCs w:val="32"/>
        </w:rPr>
        <w:t>。</w:t>
      </w: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p>
    <w:p>
      <w:pPr>
        <w:pStyle w:val="28"/>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6" behindDoc="0" locked="0" layoutInCell="1" hidden="0" allowOverlap="1">
            <wp:simplePos x="0" y="0"/>
            <wp:positionH relativeFrom="column">
              <wp:posOffset>406329</wp:posOffset>
            </wp:positionH>
            <wp:positionV relativeFrom="paragraph">
              <wp:posOffset>-2730490</wp:posOffset>
            </wp:positionV>
            <wp:extent cx="4791002" cy="3086053"/>
            <wp:effectExtent l="0" t="0" r="0" b="0"/>
            <wp:wrapNone/>
            <wp:docPr id="7" name="图片 7"/>
            <wp:cNvGraphicFramePr>
              <a:graphicFrameLocks noChangeAspect="1"/>
            </wp:cNvGraphicFramePr>
            <a:graphic>
              <a:graphicData uri="http://schemas.openxmlformats.org/drawingml/2006/picture">
                <pic:pic>
                  <pic:nvPicPr>
                    <pic:cNvPr id="9" name="图片 7 9"/>
                    <pic:cNvPicPr/>
                  </pic:nvPicPr>
                  <pic:blipFill>
                    <a:blip r:embed="rId5"/>
                    <a:stretch>
                      <a:fillRect/>
                    </a:stretch>
                  </pic:blipFill>
                  <pic:spPr>
                    <a:xfrm rot="0">
                      <a:off x="0" y="0"/>
                      <a:ext cx="4791002" cy="3086053"/>
                    </a:xfrm>
                    <a:prstGeom prst="rect"/>
                    <a:noFill/>
                    <a:ln w="9525" cmpd="sng" cap="flat">
                      <a:noFill/>
                      <a:prstDash val="solid"/>
                      <a:miter/>
                    </a:ln>
                  </pic:spPr>
                </pic:pic>
              </a:graphicData>
            </a:graphic>
          </wp:anchor>
        </w:drawing>
      </w:r>
    </w:p>
    <w:p>
      <w:pPr>
        <w:pStyle w:val="640"/>
        <w:spacing w:line="560" w:lineRule="exact"/>
        <w:rPr>
          <w:sz w:val="32"/>
          <w:szCs w:val="32"/>
        </w:rPr>
      </w:pPr>
    </w:p>
    <w:p>
      <w:pPr>
        <w:pStyle w:val="649"/>
        <w:spacing w:line="560" w:lineRule="exact"/>
        <w:ind w:firstLineChars="200" w:firstLine="640"/>
        <w:rPr>
          <w:rFonts w:eastAsia="方正黑体_GBK"/>
          <w:sz w:val="32"/>
          <w:szCs w:val="32"/>
        </w:rPr>
      </w:pPr>
      <w:r>
        <w:rPr>
          <w:rFonts w:eastAsia="方正黑体_GBK" w:hint="eastAsia"/>
          <w:sz w:val="32"/>
          <w:szCs w:val="32"/>
        </w:rPr>
        <w:t>四、关于茂名海关综合技术服务中心202</w:t>
      </w:r>
      <w:r>
        <w:rPr>
          <w:rFonts w:eastAsia="方正黑体_GBK"/>
          <w:sz w:val="32"/>
          <w:szCs w:val="32"/>
        </w:rPr>
        <w:t>5</w:t>
      </w:r>
      <w:r>
        <w:rPr>
          <w:rFonts w:eastAsia="方正黑体_GBK" w:hint="eastAsia"/>
          <w:sz w:val="32"/>
          <w:szCs w:val="32"/>
        </w:rPr>
        <w:t>年财政拨款收支预算情况的总体说明</w:t>
      </w:r>
    </w:p>
    <w:p>
      <w:pPr>
        <w:pStyle w:val="932"/>
        <w:spacing w:line="560" w:lineRule="exact"/>
        <w:ind w:firstLineChars="200" w:firstLine="640"/>
        <w:rPr>
          <w:rFonts w:eastAsia="方正仿宋_GBK"/>
          <w:sz w:val="32"/>
          <w:szCs w:val="32"/>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年财政拨款收支总预算7</w:t>
      </w:r>
      <w:r>
        <w:rPr>
          <w:rFonts w:eastAsia="方正仿宋_GBK"/>
          <w:sz w:val="32"/>
          <w:szCs w:val="32"/>
        </w:rPr>
        <w:t>34</w:t>
      </w:r>
      <w:r>
        <w:rPr>
          <w:rFonts w:eastAsia="方正仿宋_GBK" w:hint="eastAsia"/>
          <w:sz w:val="32"/>
          <w:szCs w:val="32"/>
        </w:rPr>
        <w:t>.</w:t>
      </w:r>
      <w:r>
        <w:rPr>
          <w:rFonts w:eastAsia="方正仿宋_GBK"/>
          <w:sz w:val="32"/>
          <w:szCs w:val="32"/>
        </w:rPr>
        <w:t>63</w:t>
      </w:r>
      <w:r>
        <w:rPr>
          <w:rFonts w:eastAsia="方正仿宋_GBK" w:hint="eastAsia"/>
          <w:sz w:val="32"/>
          <w:szCs w:val="32"/>
        </w:rPr>
        <w:t>万元。收入全部为一般公共预算拨款。收入包括：一般公共预算当年财政拨款收入5</w:t>
      </w:r>
      <w:r>
        <w:rPr>
          <w:rFonts w:eastAsia="方正仿宋_GBK"/>
          <w:sz w:val="32"/>
          <w:szCs w:val="32"/>
        </w:rPr>
        <w:t>1</w:t>
      </w:r>
      <w:r>
        <w:rPr>
          <w:rFonts w:eastAsia="方正仿宋_GBK" w:hint="eastAsia"/>
          <w:sz w:val="32"/>
          <w:szCs w:val="32"/>
        </w:rPr>
        <w:t>4.</w:t>
      </w:r>
      <w:r>
        <w:rPr>
          <w:rFonts w:eastAsia="方正仿宋_GBK"/>
          <w:sz w:val="32"/>
          <w:szCs w:val="32"/>
        </w:rPr>
        <w:t>10</w:t>
      </w:r>
      <w:r>
        <w:rPr>
          <w:rFonts w:eastAsia="方正仿宋_GBK" w:hint="eastAsia"/>
          <w:sz w:val="32"/>
          <w:szCs w:val="32"/>
        </w:rPr>
        <w:t>万元、上年结转</w:t>
      </w:r>
      <w:r>
        <w:rPr>
          <w:rFonts w:eastAsia="方正仿宋_GBK"/>
          <w:sz w:val="32"/>
          <w:szCs w:val="32"/>
        </w:rPr>
        <w:t>220</w:t>
      </w:r>
      <w:r>
        <w:rPr>
          <w:rFonts w:eastAsia="方正仿宋_GBK" w:hint="eastAsia"/>
          <w:sz w:val="32"/>
          <w:szCs w:val="32"/>
        </w:rPr>
        <w:t>.</w:t>
      </w:r>
      <w:r>
        <w:rPr>
          <w:rFonts w:eastAsia="方正仿宋_GBK"/>
          <w:sz w:val="32"/>
          <w:szCs w:val="32"/>
        </w:rPr>
        <w:t>53</w:t>
      </w:r>
      <w:r>
        <w:rPr>
          <w:rFonts w:eastAsia="方正仿宋_GBK" w:hint="eastAsia"/>
          <w:sz w:val="32"/>
          <w:szCs w:val="32"/>
        </w:rPr>
        <w:t>万元。支出包括：一般公共服务支出</w:t>
      </w:r>
      <w:r>
        <w:rPr>
          <w:rFonts w:eastAsia="方正仿宋_GBK"/>
          <w:sz w:val="32"/>
          <w:szCs w:val="32"/>
        </w:rPr>
        <w:t>612.44</w:t>
      </w:r>
      <w:r>
        <w:rPr>
          <w:rFonts w:eastAsia="方正仿宋_GBK" w:hint="eastAsia"/>
          <w:sz w:val="32"/>
          <w:szCs w:val="32"/>
        </w:rPr>
        <w:t>万元，占8</w:t>
      </w:r>
      <w:r>
        <w:rPr>
          <w:rFonts w:eastAsia="方正仿宋_GBK"/>
          <w:sz w:val="32"/>
          <w:szCs w:val="32"/>
        </w:rPr>
        <w:t>3</w:t>
      </w:r>
      <w:r>
        <w:rPr>
          <w:rFonts w:eastAsia="方正仿宋_GBK" w:hint="eastAsia"/>
          <w:sz w:val="32"/>
          <w:szCs w:val="32"/>
        </w:rPr>
        <w:t>.3</w:t>
      </w:r>
      <w:r>
        <w:rPr>
          <w:rFonts w:eastAsia="方正仿宋_GBK"/>
          <w:sz w:val="32"/>
          <w:szCs w:val="32"/>
        </w:rPr>
        <w:t>7</w:t>
      </w:r>
      <w:r>
        <w:rPr>
          <w:rFonts w:eastAsia="方正仿宋_GBK" w:hint="eastAsia"/>
          <w:sz w:val="32"/>
          <w:szCs w:val="32"/>
        </w:rPr>
        <w:t>%；社会保障和就业支出</w:t>
      </w:r>
      <w:r>
        <w:rPr>
          <w:rFonts w:eastAsia="方正仿宋_GBK"/>
          <w:sz w:val="32"/>
          <w:szCs w:val="32"/>
        </w:rPr>
        <w:t>49</w:t>
      </w:r>
      <w:r>
        <w:rPr>
          <w:rFonts w:eastAsia="方正仿宋_GBK" w:hint="eastAsia"/>
          <w:sz w:val="32"/>
          <w:szCs w:val="32"/>
        </w:rPr>
        <w:t>.</w:t>
      </w:r>
      <w:r>
        <w:rPr>
          <w:rFonts w:eastAsia="方正仿宋_GBK"/>
          <w:sz w:val="32"/>
          <w:szCs w:val="32"/>
        </w:rPr>
        <w:t>77</w:t>
      </w:r>
      <w:r>
        <w:rPr>
          <w:rFonts w:eastAsia="方正仿宋_GBK" w:hint="eastAsia"/>
          <w:sz w:val="32"/>
          <w:szCs w:val="32"/>
        </w:rPr>
        <w:t>万元，占</w:t>
      </w:r>
      <w:r>
        <w:rPr>
          <w:rFonts w:eastAsia="方正仿宋_GBK"/>
          <w:sz w:val="32"/>
          <w:szCs w:val="32"/>
        </w:rPr>
        <w:t>6</w:t>
      </w:r>
      <w:r>
        <w:rPr>
          <w:rFonts w:eastAsia="方正仿宋_GBK" w:hint="eastAsia"/>
          <w:sz w:val="32"/>
          <w:szCs w:val="32"/>
        </w:rPr>
        <w:t>.7</w:t>
      </w:r>
      <w:r>
        <w:rPr>
          <w:rFonts w:eastAsia="方正仿宋_GBK"/>
          <w:sz w:val="32"/>
          <w:szCs w:val="32"/>
        </w:rPr>
        <w:t>7</w:t>
      </w:r>
      <w:r>
        <w:rPr>
          <w:rFonts w:eastAsia="方正仿宋_GBK" w:hint="eastAsia"/>
          <w:sz w:val="32"/>
          <w:szCs w:val="32"/>
        </w:rPr>
        <w:t>%；住房保障支出3</w:t>
      </w:r>
      <w:r>
        <w:rPr>
          <w:rFonts w:eastAsia="方正仿宋_GBK"/>
          <w:sz w:val="32"/>
          <w:szCs w:val="32"/>
        </w:rPr>
        <w:t>8</w:t>
      </w:r>
      <w:r>
        <w:rPr>
          <w:rFonts w:eastAsia="方正仿宋_GBK" w:hint="eastAsia"/>
          <w:sz w:val="32"/>
          <w:szCs w:val="32"/>
        </w:rPr>
        <w:t>.</w:t>
      </w:r>
      <w:r>
        <w:rPr>
          <w:rFonts w:eastAsia="方正仿宋_GBK"/>
          <w:sz w:val="32"/>
          <w:szCs w:val="32"/>
        </w:rPr>
        <w:t>37</w:t>
      </w:r>
      <w:r>
        <w:rPr>
          <w:rFonts w:eastAsia="方正仿宋_GBK" w:hint="eastAsia"/>
          <w:sz w:val="32"/>
          <w:szCs w:val="32"/>
        </w:rPr>
        <w:t>万元，占5.</w:t>
      </w:r>
      <w:r>
        <w:rPr>
          <w:rFonts w:eastAsia="方正仿宋_GBK"/>
          <w:sz w:val="32"/>
          <w:szCs w:val="32"/>
        </w:rPr>
        <w:t>22</w:t>
      </w:r>
      <w:r>
        <w:rPr>
          <w:rFonts w:eastAsia="方正仿宋_GBK" w:hint="eastAsia"/>
          <w:sz w:val="32"/>
          <w:szCs w:val="32"/>
        </w:rPr>
        <w:t>%；</w:t>
      </w:r>
      <w:r>
        <w:rPr>
          <w:rFonts w:eastAsia="方正仿宋_GBK"/>
          <w:sz w:val="32"/>
          <w:szCs w:val="32"/>
        </w:rPr>
        <w:t>其他</w:t>
      </w:r>
      <w:r>
        <w:rPr>
          <w:rFonts w:eastAsia="方正仿宋_GBK" w:hint="eastAsia"/>
          <w:sz w:val="32"/>
          <w:szCs w:val="32"/>
        </w:rPr>
        <w:t>支出3</w:t>
      </w:r>
      <w:r>
        <w:rPr>
          <w:rFonts w:eastAsia="方正仿宋_GBK"/>
          <w:sz w:val="32"/>
          <w:szCs w:val="32"/>
        </w:rPr>
        <w:t>4</w:t>
      </w:r>
      <w:r>
        <w:rPr>
          <w:rFonts w:eastAsia="方正仿宋_GBK" w:hint="eastAsia"/>
          <w:sz w:val="32"/>
          <w:szCs w:val="32"/>
        </w:rPr>
        <w:t>.</w:t>
      </w:r>
      <w:r>
        <w:rPr>
          <w:rFonts w:eastAsia="方正仿宋_GBK"/>
          <w:sz w:val="32"/>
          <w:szCs w:val="32"/>
        </w:rPr>
        <w:t>05</w:t>
      </w:r>
      <w:r>
        <w:rPr>
          <w:rFonts w:eastAsia="方正仿宋_GBK" w:hint="eastAsia"/>
          <w:sz w:val="32"/>
          <w:szCs w:val="32"/>
        </w:rPr>
        <w:t>万元，占</w:t>
      </w:r>
      <w:r>
        <w:rPr>
          <w:rFonts w:eastAsia="方正仿宋_GBK"/>
          <w:sz w:val="32"/>
          <w:szCs w:val="32"/>
        </w:rPr>
        <w:t>4</w:t>
      </w:r>
      <w:r>
        <w:rPr>
          <w:rFonts w:eastAsia="方正仿宋_GBK" w:hint="eastAsia"/>
          <w:sz w:val="32"/>
          <w:szCs w:val="32"/>
        </w:rPr>
        <w:t>.</w:t>
      </w:r>
      <w:r>
        <w:rPr>
          <w:rFonts w:eastAsia="方正仿宋_GBK"/>
          <w:sz w:val="32"/>
          <w:szCs w:val="32"/>
        </w:rPr>
        <w:t>63</w:t>
      </w:r>
      <w:r>
        <w:rPr>
          <w:rFonts w:eastAsia="方正仿宋_GBK" w:hint="eastAsia"/>
          <w:sz w:val="32"/>
          <w:szCs w:val="32"/>
        </w:rPr>
        <w:t>%</w:t>
      </w:r>
      <w:r>
        <w:rPr>
          <w:rFonts w:eastAsia="方正仿宋_GBK"/>
          <w:sz w:val="32"/>
          <w:szCs w:val="32"/>
        </w:rPr>
        <w:t>。</w:t>
      </w:r>
    </w:p>
    <w:p>
      <w:pPr>
        <w:pStyle w:val="650"/>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7" behindDoc="0" locked="0" layoutInCell="1" hidden="0" allowOverlap="1">
            <wp:simplePos x="0" y="0"/>
            <wp:positionH relativeFrom="column">
              <wp:posOffset>396805</wp:posOffset>
            </wp:positionH>
            <wp:positionV relativeFrom="paragraph">
              <wp:posOffset>365182</wp:posOffset>
            </wp:positionV>
            <wp:extent cx="5324394" cy="3476571"/>
            <wp:effectExtent l="0" t="0" r="0" b="0"/>
            <wp:wrapNone/>
            <wp:docPr id="10" name="图片 10"/>
            <wp:cNvGraphicFramePr>
              <a:graphicFrameLocks noChangeAspect="1"/>
            </wp:cNvGraphicFramePr>
            <a:graphic>
              <a:graphicData uri="http://schemas.openxmlformats.org/drawingml/2006/picture">
                <pic:pic>
                  <pic:nvPicPr>
                    <pic:cNvPr id="12" name="图片 10 12"/>
                    <pic:cNvPicPr/>
                  </pic:nvPicPr>
                  <pic:blipFill>
                    <a:blip r:embed="rId6"/>
                    <a:stretch>
                      <a:fillRect/>
                    </a:stretch>
                  </pic:blipFill>
                  <pic:spPr>
                    <a:xfrm rot="0">
                      <a:off x="0" y="0"/>
                      <a:ext cx="5324394" cy="3476571"/>
                    </a:xfrm>
                    <a:prstGeom prst="rect"/>
                    <a:noFill/>
                    <a:ln w="9525" cmpd="sng" cap="flat">
                      <a:noFill/>
                      <a:prstDash val="solid"/>
                      <a:miter/>
                    </a:ln>
                  </pic:spPr>
                </pic:pic>
              </a:graphicData>
            </a:graphic>
          </wp:anchor>
        </w:drawing>
      </w: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0"/>
        <w:spacing w:line="560" w:lineRule="exact"/>
        <w:ind w:firstLineChars="200" w:firstLine="640"/>
        <w:rPr>
          <w:rFonts w:eastAsia="方正仿宋_GBK"/>
          <w:sz w:val="32"/>
          <w:szCs w:val="32"/>
        </w:rPr>
      </w:pPr>
    </w:p>
    <w:p>
      <w:pPr>
        <w:pStyle w:val="654"/>
        <w:spacing w:line="560" w:lineRule="exact"/>
        <w:ind w:firstLineChars="200" w:firstLine="640"/>
        <w:rPr>
          <w:rFonts w:eastAsia="方正黑体_GBK"/>
          <w:sz w:val="32"/>
          <w:szCs w:val="32"/>
        </w:rPr>
      </w:pPr>
    </w:p>
    <w:p>
      <w:pPr>
        <w:pStyle w:val="654"/>
        <w:spacing w:line="560" w:lineRule="exact"/>
        <w:ind w:firstLineChars="200" w:firstLine="640"/>
        <w:rPr>
          <w:rFonts w:eastAsia="方正黑体_GBK"/>
          <w:sz w:val="32"/>
          <w:szCs w:val="32"/>
        </w:rPr>
      </w:pPr>
    </w:p>
    <w:p>
      <w:pPr>
        <w:pStyle w:val="654"/>
        <w:spacing w:line="560" w:lineRule="exact"/>
        <w:ind w:firstLineChars="200" w:firstLine="640"/>
        <w:rPr>
          <w:rFonts w:eastAsia="方正黑体_GBK"/>
          <w:sz w:val="32"/>
          <w:szCs w:val="32"/>
        </w:rPr>
      </w:pPr>
      <w:r>
        <w:rPr>
          <w:rFonts w:eastAsia="方正黑体_GBK" w:hint="eastAsia"/>
          <w:sz w:val="32"/>
          <w:szCs w:val="32"/>
        </w:rPr>
        <w:t>五、关于茂名海关综合技术服务中心202</w:t>
      </w:r>
      <w:r>
        <w:rPr>
          <w:rFonts w:eastAsia="方正黑体_GBK"/>
          <w:sz w:val="32"/>
          <w:szCs w:val="32"/>
        </w:rPr>
        <w:t>5</w:t>
      </w:r>
      <w:r>
        <w:rPr>
          <w:rFonts w:eastAsia="方正黑体_GBK" w:hint="eastAsia"/>
          <w:sz w:val="32"/>
          <w:szCs w:val="32"/>
        </w:rPr>
        <w:t>年一般公共预算当年财政拨款情况说明</w:t>
      </w:r>
    </w:p>
    <w:p>
      <w:pPr>
        <w:pStyle w:val="655"/>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pPr>
        <w:pStyle w:val="655"/>
        <w:spacing w:line="560" w:lineRule="exact"/>
        <w:ind w:firstLineChars="200" w:firstLine="640"/>
        <w:rPr>
          <w:color w:val="000000"/>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年一般公共预算当年财政拨款预算5</w:t>
      </w:r>
      <w:r>
        <w:rPr>
          <w:rFonts w:eastAsia="方正仿宋_GBK"/>
          <w:sz w:val="32"/>
          <w:szCs w:val="32"/>
        </w:rPr>
        <w:t>1</w:t>
      </w:r>
      <w:r>
        <w:rPr>
          <w:rFonts w:eastAsia="方正仿宋_GBK" w:hint="eastAsia"/>
          <w:sz w:val="32"/>
          <w:szCs w:val="32"/>
        </w:rPr>
        <w:t>4.</w:t>
      </w:r>
      <w:r>
        <w:rPr>
          <w:rFonts w:eastAsia="方正仿宋_GBK"/>
          <w:sz w:val="32"/>
          <w:szCs w:val="32"/>
        </w:rPr>
        <w:t>1</w:t>
      </w:r>
      <w:r>
        <w:rPr>
          <w:rFonts w:eastAsia="方正仿宋_GBK" w:hint="eastAsia"/>
          <w:sz w:val="32"/>
          <w:szCs w:val="32"/>
        </w:rPr>
        <w:t>0万元，比202</w:t>
      </w:r>
      <w:r>
        <w:rPr>
          <w:rFonts w:eastAsia="方正仿宋_GBK"/>
          <w:sz w:val="32"/>
          <w:szCs w:val="32"/>
        </w:rPr>
        <w:t>4</w:t>
      </w:r>
      <w:r>
        <w:rPr>
          <w:rFonts w:eastAsia="方正仿宋_GBK" w:hint="eastAsia"/>
          <w:sz w:val="32"/>
          <w:szCs w:val="32"/>
        </w:rPr>
        <w:t>年执行数减少</w:t>
      </w:r>
      <w:r>
        <w:rPr>
          <w:rFonts w:eastAsia="方正仿宋_GBK"/>
          <w:sz w:val="32"/>
          <w:szCs w:val="32"/>
        </w:rPr>
        <w:t>125.68</w:t>
      </w:r>
      <w:r>
        <w:rPr>
          <w:rFonts w:eastAsia="方正仿宋_GBK" w:hint="eastAsia"/>
          <w:sz w:val="32"/>
          <w:szCs w:val="32"/>
        </w:rPr>
        <w:t>万元，下降</w:t>
      </w:r>
      <w:r>
        <w:rPr>
          <w:rFonts w:eastAsia="方正仿宋_GBK"/>
          <w:sz w:val="32"/>
          <w:szCs w:val="32"/>
        </w:rPr>
        <w:t>19.64</w:t>
      </w:r>
      <w:r>
        <w:rPr>
          <w:rFonts w:eastAsia="方正仿宋_GBK" w:hint="eastAsia"/>
          <w:sz w:val="32"/>
          <w:szCs w:val="32"/>
        </w:rPr>
        <w:t>%。202</w:t>
      </w:r>
      <w:r>
        <w:rPr>
          <w:rFonts w:eastAsia="方正仿宋_GBK"/>
          <w:sz w:val="32"/>
          <w:szCs w:val="32"/>
        </w:rPr>
        <w:t>5</w:t>
      </w:r>
      <w:r>
        <w:rPr>
          <w:rFonts w:eastAsia="方正仿宋_GBK" w:hint="eastAsia"/>
          <w:sz w:val="32"/>
          <w:szCs w:val="32"/>
        </w:rPr>
        <w:t>年，按照</w:t>
      </w:r>
      <w:r>
        <w:rPr>
          <w:rFonts w:eastAsia="方正仿宋_GBK" w:hint="eastAsia"/>
          <w:color w:val="000000"/>
          <w:sz w:val="32"/>
          <w:szCs w:val="32"/>
        </w:rPr>
        <w:t>党中央、国务院关于过紧日子的有关要求，厉行节约</w:t>
      </w:r>
      <w:r>
        <w:rPr>
          <w:rFonts w:eastAsia="方正仿宋_GBK"/>
          <w:color w:val="000000"/>
          <w:sz w:val="32"/>
          <w:szCs w:val="32"/>
        </w:rPr>
        <w:t>，</w:t>
      </w:r>
      <w:r>
        <w:rPr>
          <w:rFonts w:eastAsia="方正仿宋_GBK" w:hint="eastAsia"/>
          <w:color w:val="000000"/>
          <w:sz w:val="32"/>
          <w:szCs w:val="32"/>
        </w:rPr>
        <w:t>大力压减一般性支出，同时合理保障必要支出需求，体现在有关支出科目中。</w:t>
      </w:r>
    </w:p>
    <w:p>
      <w:pPr>
        <w:pStyle w:val="658"/>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（二）一般公共预算当年财政拨款结构情况。</w:t>
      </w:r>
    </w:p>
    <w:p>
      <w:pPr>
        <w:pStyle w:val="658"/>
        <w:spacing w:line="560" w:lineRule="exact"/>
        <w:ind w:firstLineChars="200" w:firstLine="640"/>
        <w:rPr>
          <w:rFonts w:eastAsia="方正仿宋_GBK"/>
          <w:sz w:val="32"/>
          <w:szCs w:val="32"/>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年部门预算中，</w:t>
      </w:r>
      <w:r>
        <w:rPr>
          <w:rFonts w:eastAsia="方正仿宋_GBK" w:hint="eastAsia"/>
          <w:sz w:val="32"/>
          <w:szCs w:val="32"/>
          <w:lang w:val="zh-CN"/>
        </w:rPr>
        <w:t>一般公共预算当年财政拨款</w:t>
      </w:r>
      <w:r>
        <w:rPr>
          <w:rFonts w:eastAsia="方正仿宋_GBK" w:hint="eastAsia"/>
          <w:sz w:val="32"/>
          <w:szCs w:val="32"/>
        </w:rPr>
        <w:t>用于以下方面：一般公共服务（类）支出4</w:t>
      </w:r>
      <w:r>
        <w:rPr>
          <w:rFonts w:eastAsia="方正仿宋_GBK"/>
          <w:sz w:val="32"/>
          <w:szCs w:val="32"/>
        </w:rPr>
        <w:t>25</w:t>
      </w:r>
      <w:r>
        <w:rPr>
          <w:rFonts w:eastAsia="方正仿宋_GBK" w:hint="eastAsia"/>
          <w:sz w:val="32"/>
          <w:szCs w:val="32"/>
        </w:rPr>
        <w:t>.</w:t>
      </w:r>
      <w:r>
        <w:rPr>
          <w:rFonts w:eastAsia="方正仿宋_GBK"/>
          <w:sz w:val="32"/>
          <w:szCs w:val="32"/>
        </w:rPr>
        <w:t>9</w:t>
      </w:r>
      <w:r>
        <w:rPr>
          <w:rFonts w:eastAsia="方正仿宋_GBK" w:hint="eastAsia"/>
          <w:sz w:val="32"/>
          <w:szCs w:val="32"/>
        </w:rPr>
        <w:t>6万元，占8</w:t>
      </w:r>
      <w:r>
        <w:rPr>
          <w:rFonts w:eastAsia="方正仿宋_GBK"/>
          <w:sz w:val="32"/>
          <w:szCs w:val="32"/>
        </w:rPr>
        <w:t>2</w:t>
      </w:r>
      <w:r>
        <w:rPr>
          <w:rFonts w:eastAsia="方正仿宋_GBK" w:hint="eastAsia"/>
          <w:sz w:val="32"/>
          <w:szCs w:val="32"/>
        </w:rPr>
        <w:t>.</w:t>
      </w:r>
      <w:r>
        <w:rPr>
          <w:rFonts w:eastAsia="方正仿宋_GBK"/>
          <w:sz w:val="32"/>
          <w:szCs w:val="32"/>
        </w:rPr>
        <w:t>86</w:t>
      </w:r>
      <w:r>
        <w:rPr>
          <w:rFonts w:eastAsia="方正仿宋_GBK" w:hint="eastAsia"/>
          <w:sz w:val="32"/>
          <w:szCs w:val="32"/>
        </w:rPr>
        <w:t>%；社会保障和就业（类）支出</w:t>
      </w:r>
      <w:r>
        <w:rPr>
          <w:rFonts w:eastAsia="方正仿宋_GBK"/>
          <w:sz w:val="32"/>
          <w:szCs w:val="32"/>
        </w:rPr>
        <w:t>49</w:t>
      </w:r>
      <w:r>
        <w:rPr>
          <w:rFonts w:eastAsia="方正仿宋_GBK" w:hint="eastAsia"/>
          <w:sz w:val="32"/>
          <w:szCs w:val="32"/>
        </w:rPr>
        <w:t>.</w:t>
      </w:r>
      <w:r>
        <w:rPr>
          <w:rFonts w:eastAsia="方正仿宋_GBK"/>
          <w:sz w:val="32"/>
          <w:szCs w:val="32"/>
        </w:rPr>
        <w:t>77</w:t>
      </w:r>
      <w:r>
        <w:rPr>
          <w:rFonts w:eastAsia="方正仿宋_GBK" w:hint="eastAsia"/>
          <w:sz w:val="32"/>
          <w:szCs w:val="32"/>
        </w:rPr>
        <w:t>万元，占9.</w:t>
      </w:r>
      <w:r>
        <w:rPr>
          <w:rFonts w:eastAsia="方正仿宋_GBK"/>
          <w:sz w:val="32"/>
          <w:szCs w:val="32"/>
        </w:rPr>
        <w:t>68</w:t>
      </w:r>
      <w:r>
        <w:rPr>
          <w:rFonts w:eastAsia="方正仿宋_GBK" w:hint="eastAsia"/>
          <w:sz w:val="32"/>
          <w:szCs w:val="32"/>
        </w:rPr>
        <w:t>%；住房保障（类）支出3</w:t>
      </w:r>
      <w:r>
        <w:rPr>
          <w:rFonts w:eastAsia="方正仿宋_GBK"/>
          <w:sz w:val="32"/>
          <w:szCs w:val="32"/>
        </w:rPr>
        <w:t>8</w:t>
      </w:r>
      <w:r>
        <w:rPr>
          <w:rFonts w:eastAsia="方正仿宋_GBK" w:hint="eastAsia"/>
          <w:sz w:val="32"/>
          <w:szCs w:val="32"/>
        </w:rPr>
        <w:t>.</w:t>
      </w:r>
      <w:r>
        <w:rPr>
          <w:rFonts w:eastAsia="方正仿宋_GBK"/>
          <w:sz w:val="32"/>
          <w:szCs w:val="32"/>
        </w:rPr>
        <w:t>37</w:t>
      </w:r>
      <w:r>
        <w:rPr>
          <w:rFonts w:eastAsia="方正仿宋_GBK" w:hint="eastAsia"/>
          <w:sz w:val="32"/>
          <w:szCs w:val="32"/>
        </w:rPr>
        <w:t>万元，占7.</w:t>
      </w:r>
      <w:r>
        <w:rPr>
          <w:rFonts w:eastAsia="方正仿宋_GBK"/>
          <w:sz w:val="32"/>
          <w:szCs w:val="32"/>
        </w:rPr>
        <w:t>46</w:t>
      </w:r>
      <w:r>
        <w:rPr>
          <w:rFonts w:eastAsia="方正仿宋_GBK" w:hint="eastAsia"/>
          <w:sz w:val="32"/>
          <w:szCs w:val="32"/>
        </w:rPr>
        <w:t>%。</w:t>
      </w: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p>
    <w:p>
      <w:pPr>
        <w:pStyle w:val="658"/>
        <w:spacing w:line="560" w:lineRule="exact"/>
        <w:ind w:firstLineChars="200" w:firstLine="640"/>
        <w:rPr>
          <w:rFonts w:eastAsia="方正仿宋_GBK"/>
          <w:sz w:val="32"/>
          <w:szCs w:val="32"/>
        </w:rPr>
      </w:pPr>
      <w:r>
        <w:rPr>
          <w:rFonts w:eastAsia="方正仿宋_GBK"/>
          <w:sz w:val="32"/>
          <w:szCs w:val="32"/>
        </w:rPr>
        <w:drawing>
          <wp:anchor distT="0" distB="0" distL="85723" distR="85723" simplePos="0" relativeHeight="18" behindDoc="0" locked="0" layoutInCell="1" hidden="0" allowOverlap="1">
            <wp:simplePos x="0" y="0"/>
            <wp:positionH relativeFrom="column">
              <wp:posOffset>406329</wp:posOffset>
            </wp:positionH>
            <wp:positionV relativeFrom="paragraph">
              <wp:posOffset>-3168537</wp:posOffset>
            </wp:positionV>
            <wp:extent cx="5105322" cy="3524196"/>
            <wp:effectExtent l="0" t="0" r="0" b="0"/>
            <wp:wrapNone/>
            <wp:docPr id="13" name="图片 13"/>
            <wp:cNvGraphicFramePr>
              <a:graphicFrameLocks noChangeAspect="1"/>
            </wp:cNvGraphicFramePr>
            <a:graphic>
              <a:graphicData uri="http://schemas.openxmlformats.org/drawingml/2006/picture">
                <pic:pic>
                  <pic:nvPicPr>
                    <pic:cNvPr id="15" name="图片 13 15"/>
                    <pic:cNvPicPr/>
                  </pic:nvPicPr>
                  <pic:blipFill>
                    <a:blip r:embed="rId7"/>
                    <a:stretch>
                      <a:fillRect/>
                    </a:stretch>
                  </pic:blipFill>
                  <pic:spPr>
                    <a:xfrm rot="0">
                      <a:off x="0" y="0"/>
                      <a:ext cx="5105322" cy="3524196"/>
                    </a:xfrm>
                    <a:prstGeom prst="rect"/>
                    <a:noFill/>
                    <a:ln w="9525" cmpd="sng" cap="flat">
                      <a:noFill/>
                      <a:prstDash val="solid"/>
                      <a:miter/>
                    </a:ln>
                  </pic:spPr>
                </pic:pic>
              </a:graphicData>
            </a:graphic>
          </wp:anchor>
        </w:drawing>
      </w:r>
    </w:p>
    <w:p>
      <w:pPr>
        <w:pStyle w:val="721"/>
        <w:spacing w:line="560" w:lineRule="exact"/>
        <w:ind w:firstLineChars="200" w:firstLine="640"/>
        <w:jc w:val="left"/>
        <w:rPr>
          <w:rFonts w:ascii="方正楷体_GBK" w:eastAsia="方正楷体_GBK" w:cs="方正楷体_GBK"/>
          <w:b/>
          <w:bCs/>
          <w:sz w:val="32"/>
          <w:szCs w:val="32"/>
          <w:lang w:val="zh-CN"/>
        </w:rPr>
      </w:pPr>
    </w:p>
    <w:p>
      <w:pPr>
        <w:pStyle w:val="721"/>
        <w:spacing w:line="560" w:lineRule="exact"/>
        <w:ind w:firstLineChars="200" w:firstLine="640"/>
        <w:jc w:val="left"/>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pPr>
        <w:pStyle w:val="721"/>
        <w:spacing w:line="560" w:lineRule="exact"/>
        <w:ind w:firstLineChars="200" w:firstLine="640"/>
        <w:rPr>
          <w:rFonts w:eastAsia="方正仿宋_GBK"/>
          <w:sz w:val="32"/>
          <w:szCs w:val="32"/>
        </w:rPr>
      </w:pPr>
      <w:r>
        <w:rPr>
          <w:rFonts w:eastAsia="方正仿宋_GBK" w:hint="eastAsia"/>
          <w:sz w:val="32"/>
          <w:szCs w:val="32"/>
        </w:rPr>
        <w:t>1．一般公共服务支出（类）海关事务（款）202</w:t>
      </w:r>
      <w:r>
        <w:rPr>
          <w:rFonts w:eastAsia="方正仿宋_GBK"/>
          <w:sz w:val="32"/>
          <w:szCs w:val="32"/>
        </w:rPr>
        <w:t>5</w:t>
      </w:r>
      <w:r>
        <w:rPr>
          <w:rFonts w:eastAsia="方正仿宋_GBK" w:hint="eastAsia"/>
          <w:sz w:val="32"/>
          <w:szCs w:val="32"/>
        </w:rPr>
        <w:t>年预算4</w:t>
      </w:r>
      <w:r>
        <w:rPr>
          <w:rFonts w:eastAsia="方正仿宋_GBK"/>
          <w:sz w:val="32"/>
          <w:szCs w:val="32"/>
        </w:rPr>
        <w:t>25</w:t>
      </w:r>
      <w:r>
        <w:rPr>
          <w:rFonts w:eastAsia="方正仿宋_GBK" w:hint="eastAsia"/>
          <w:sz w:val="32"/>
          <w:szCs w:val="32"/>
        </w:rPr>
        <w:t>.</w:t>
      </w:r>
      <w:r>
        <w:rPr>
          <w:rFonts w:eastAsia="方正仿宋_GBK"/>
          <w:sz w:val="32"/>
          <w:szCs w:val="32"/>
        </w:rPr>
        <w:t>9</w:t>
      </w:r>
      <w:r>
        <w:rPr>
          <w:rFonts w:eastAsia="方正仿宋_GBK" w:hint="eastAsia"/>
          <w:sz w:val="32"/>
          <w:szCs w:val="32"/>
        </w:rPr>
        <w:t>6万元（扣除中央基建投资，下同），比202</w:t>
      </w:r>
      <w:r>
        <w:rPr>
          <w:rFonts w:eastAsia="方正仿宋_GBK"/>
          <w:sz w:val="32"/>
          <w:szCs w:val="32"/>
        </w:rPr>
        <w:t>4</w:t>
      </w:r>
      <w:r>
        <w:rPr>
          <w:rFonts w:eastAsia="方正仿宋_GBK" w:hint="eastAsia"/>
          <w:sz w:val="32"/>
          <w:szCs w:val="32"/>
        </w:rPr>
        <w:t>年执行数减少</w:t>
      </w:r>
      <w:r>
        <w:rPr>
          <w:rFonts w:eastAsia="方正仿宋_GBK"/>
          <w:sz w:val="32"/>
          <w:szCs w:val="32"/>
        </w:rPr>
        <w:t>122.08</w:t>
      </w:r>
      <w:r>
        <w:rPr>
          <w:rFonts w:eastAsia="方正仿宋_GBK" w:hint="eastAsia"/>
          <w:sz w:val="32"/>
          <w:szCs w:val="32"/>
        </w:rPr>
        <w:t>万元，下降</w:t>
      </w:r>
      <w:r>
        <w:rPr>
          <w:rFonts w:eastAsia="方正仿宋_GBK"/>
          <w:sz w:val="32"/>
          <w:szCs w:val="32"/>
        </w:rPr>
        <w:t>22.28</w:t>
      </w:r>
      <w:r>
        <w:rPr>
          <w:rFonts w:eastAsia="方正仿宋_GBK" w:hint="eastAsia"/>
          <w:sz w:val="32"/>
          <w:szCs w:val="32"/>
        </w:rPr>
        <w:t>%。其中：</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1</w:t>
      </w:r>
      <w:r>
        <w:rPr>
          <w:rFonts w:eastAsia="方正仿宋_GBK" w:hint="eastAsia"/>
          <w:sz w:val="32"/>
          <w:szCs w:val="32"/>
        </w:rPr>
        <w:t>）海关关务（项）202</w:t>
      </w:r>
      <w:r>
        <w:rPr>
          <w:rFonts w:eastAsia="方正仿宋_GBK"/>
          <w:sz w:val="32"/>
          <w:szCs w:val="32"/>
        </w:rPr>
        <w:t>5</w:t>
      </w:r>
      <w:r>
        <w:rPr>
          <w:rFonts w:eastAsia="方正仿宋_GBK" w:hint="eastAsia"/>
          <w:sz w:val="32"/>
          <w:szCs w:val="32"/>
        </w:rPr>
        <w:t>年预算</w:t>
      </w:r>
      <w:r>
        <w:rPr>
          <w:rFonts w:eastAsia="方正仿宋_GBK"/>
          <w:sz w:val="32"/>
          <w:szCs w:val="32"/>
        </w:rPr>
        <w:t>40</w:t>
      </w:r>
      <w:r>
        <w:rPr>
          <w:rFonts w:eastAsia="方正仿宋_GBK" w:hint="eastAsia"/>
          <w:sz w:val="32"/>
          <w:szCs w:val="32"/>
        </w:rPr>
        <w:t>.</w:t>
      </w:r>
      <w:r>
        <w:rPr>
          <w:rFonts w:eastAsia="方正仿宋_GBK"/>
          <w:sz w:val="32"/>
          <w:szCs w:val="32"/>
        </w:rPr>
        <w:t>05</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减少81.35</w:t>
      </w:r>
      <w:r>
        <w:rPr>
          <w:rFonts w:eastAsia="方正仿宋_GBK" w:hint="eastAsia"/>
          <w:sz w:val="32"/>
          <w:szCs w:val="32"/>
        </w:rPr>
        <w:t>万元，</w:t>
      </w:r>
      <w:r>
        <w:rPr>
          <w:rFonts w:eastAsia="方正仿宋_GBK"/>
          <w:sz w:val="32"/>
          <w:szCs w:val="32"/>
        </w:rPr>
        <w:t>减少67</w:t>
      </w:r>
      <w:r>
        <w:rPr>
          <w:rFonts w:eastAsia="方正仿宋_GBK" w:hint="eastAsia"/>
          <w:sz w:val="32"/>
          <w:szCs w:val="32"/>
        </w:rPr>
        <w:t>.</w:t>
      </w:r>
      <w:r>
        <w:rPr>
          <w:rFonts w:eastAsia="方正仿宋_GBK"/>
          <w:sz w:val="32"/>
          <w:szCs w:val="32"/>
        </w:rPr>
        <w:t>01</w:t>
      </w:r>
      <w:r>
        <w:rPr>
          <w:rFonts w:eastAsia="方正仿宋_GBK" w:hint="eastAsia"/>
          <w:sz w:val="32"/>
          <w:szCs w:val="32"/>
        </w:rPr>
        <w:t>%。主要是</w:t>
      </w:r>
      <w:r>
        <w:rPr>
          <w:rFonts w:eastAsia="方正仿宋_GBK"/>
          <w:sz w:val="32"/>
          <w:szCs w:val="32"/>
        </w:rPr>
        <w:t>仪器设备购置相关</w:t>
      </w:r>
      <w:r>
        <w:rPr>
          <w:rFonts w:eastAsia="方正仿宋_GBK" w:hint="eastAsia"/>
          <w:sz w:val="32"/>
          <w:szCs w:val="32"/>
        </w:rPr>
        <w:t>支出减少。</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2</w:t>
      </w:r>
      <w:r>
        <w:rPr>
          <w:rFonts w:eastAsia="方正仿宋_GBK" w:hint="eastAsia"/>
          <w:sz w:val="32"/>
          <w:szCs w:val="32"/>
        </w:rPr>
        <w:t>）检验检疫（项）202</w:t>
      </w:r>
      <w:r>
        <w:rPr>
          <w:rFonts w:eastAsia="方正仿宋_GBK"/>
          <w:sz w:val="32"/>
          <w:szCs w:val="32"/>
        </w:rPr>
        <w:t>5</w:t>
      </w:r>
      <w:r>
        <w:rPr>
          <w:rFonts w:eastAsia="方正仿宋_GBK" w:hint="eastAsia"/>
          <w:sz w:val="32"/>
          <w:szCs w:val="32"/>
        </w:rPr>
        <w:t>年预算</w:t>
      </w:r>
      <w:r>
        <w:rPr>
          <w:rFonts w:eastAsia="方正仿宋_GBK"/>
          <w:sz w:val="32"/>
          <w:szCs w:val="32"/>
        </w:rPr>
        <w:t>126</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年执行数减少</w:t>
      </w:r>
      <w:r>
        <w:rPr>
          <w:rFonts w:eastAsia="方正仿宋_GBK"/>
          <w:sz w:val="32"/>
          <w:szCs w:val="32"/>
        </w:rPr>
        <w:t>24.00</w:t>
      </w:r>
      <w:r>
        <w:rPr>
          <w:rFonts w:eastAsia="方正仿宋_GBK" w:hint="eastAsia"/>
          <w:sz w:val="32"/>
          <w:szCs w:val="32"/>
        </w:rPr>
        <w:t>万元，下降</w:t>
      </w:r>
      <w:r>
        <w:rPr>
          <w:rFonts w:eastAsia="方正仿宋_GBK"/>
          <w:sz w:val="32"/>
          <w:szCs w:val="32"/>
        </w:rPr>
        <w:t>16.00</w:t>
      </w:r>
      <w:r>
        <w:rPr>
          <w:rFonts w:eastAsia="方正仿宋_GBK" w:hint="eastAsia"/>
          <w:sz w:val="32"/>
          <w:szCs w:val="32"/>
        </w:rPr>
        <w:t>%。主要是海关法检业务相关工作支出减少。</w:t>
      </w:r>
    </w:p>
    <w:p>
      <w:pPr>
        <w:spacing w:line="560" w:lineRule="exact"/>
        <w:ind w:firstLineChars="200" w:firstLine="640"/>
        <w:rPr>
          <w:rFonts w:eastAsia="方正仿宋_GBK"/>
          <w:sz w:val="32"/>
          <w:szCs w:val="32"/>
        </w:rPr>
      </w:pPr>
      <w:r>
        <w:rPr>
          <w:rFonts w:eastAsia="方正仿宋_GBK" w:hint="eastAsia"/>
          <w:sz w:val="32"/>
          <w:szCs w:val="32"/>
        </w:rPr>
        <w:t>（</w:t>
      </w:r>
      <w:r>
        <w:rPr>
          <w:rFonts w:eastAsia="方正仿宋_GBK"/>
          <w:sz w:val="32"/>
          <w:szCs w:val="32"/>
        </w:rPr>
        <w:t>3</w:t>
      </w:r>
      <w:r>
        <w:rPr>
          <w:rFonts w:eastAsia="方正仿宋_GBK" w:hint="eastAsia"/>
          <w:sz w:val="32"/>
          <w:szCs w:val="32"/>
        </w:rPr>
        <w:t>）事业运行（项）202</w:t>
      </w:r>
      <w:r>
        <w:rPr>
          <w:rFonts w:eastAsia="方正仿宋_GBK"/>
          <w:sz w:val="32"/>
          <w:szCs w:val="32"/>
        </w:rPr>
        <w:t>5</w:t>
      </w:r>
      <w:r>
        <w:rPr>
          <w:rFonts w:eastAsia="方正仿宋_GBK" w:hint="eastAsia"/>
          <w:sz w:val="32"/>
          <w:szCs w:val="32"/>
        </w:rPr>
        <w:t>年预算2</w:t>
      </w:r>
      <w:r>
        <w:rPr>
          <w:rFonts w:eastAsia="方正仿宋_GBK"/>
          <w:sz w:val="32"/>
          <w:szCs w:val="32"/>
        </w:rPr>
        <w:t>59</w:t>
      </w:r>
      <w:r>
        <w:rPr>
          <w:rFonts w:eastAsia="方正仿宋_GBK" w:hint="eastAsia"/>
          <w:sz w:val="32"/>
          <w:szCs w:val="32"/>
        </w:rPr>
        <w:t>.</w:t>
      </w:r>
      <w:r>
        <w:rPr>
          <w:rFonts w:eastAsia="方正仿宋_GBK"/>
          <w:sz w:val="32"/>
          <w:szCs w:val="32"/>
        </w:rPr>
        <w:t>91</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减少16.73</w:t>
      </w:r>
      <w:r>
        <w:rPr>
          <w:rFonts w:eastAsia="方正仿宋_GBK" w:hint="eastAsia"/>
          <w:sz w:val="32"/>
          <w:szCs w:val="32"/>
        </w:rPr>
        <w:t>万元，</w:t>
      </w:r>
      <w:r>
        <w:rPr>
          <w:rFonts w:eastAsia="方正仿宋_GBK"/>
          <w:sz w:val="32"/>
          <w:szCs w:val="32"/>
        </w:rPr>
        <w:t>减少6.05</w:t>
      </w:r>
      <w:r>
        <w:rPr>
          <w:rFonts w:eastAsia="方正仿宋_GBK" w:hint="eastAsia"/>
          <w:sz w:val="32"/>
          <w:szCs w:val="32"/>
        </w:rPr>
        <w:t>%。主要是事业运行</w:t>
      </w:r>
      <w:r>
        <w:rPr>
          <w:rFonts w:eastAsia="方正仿宋_GBK"/>
          <w:sz w:val="32"/>
          <w:szCs w:val="32"/>
        </w:rPr>
        <w:t>支出减少</w:t>
      </w:r>
      <w:r>
        <w:rPr>
          <w:rFonts w:eastAsia="方正仿宋_GBK" w:hint="eastAsia"/>
          <w:sz w:val="32"/>
          <w:szCs w:val="32"/>
        </w:rPr>
        <w:t>。</w:t>
      </w:r>
    </w:p>
    <w:p>
      <w:pPr>
        <w:pStyle w:val="721"/>
        <w:spacing w:line="560" w:lineRule="exact"/>
        <w:ind w:firstLineChars="200" w:firstLine="640"/>
        <w:rPr>
          <w:rFonts w:eastAsia="方正仿宋_GBK"/>
          <w:sz w:val="32"/>
          <w:szCs w:val="32"/>
        </w:rPr>
      </w:pPr>
      <w:r>
        <w:rPr>
          <w:rFonts w:eastAsia="方正仿宋_GBK"/>
          <w:sz w:val="32"/>
          <w:szCs w:val="32"/>
        </w:rPr>
        <w:t>2</w:t>
      </w:r>
      <w:r>
        <w:rPr>
          <w:rFonts w:eastAsia="方正仿宋_GBK" w:hint="eastAsia"/>
          <w:sz w:val="32"/>
          <w:szCs w:val="32"/>
        </w:rPr>
        <w:t>．社会保障和就业支出（类）行政事业单位养老支出（款）202</w:t>
      </w:r>
      <w:r>
        <w:rPr>
          <w:rFonts w:eastAsia="方正仿宋_GBK"/>
          <w:sz w:val="32"/>
          <w:szCs w:val="32"/>
        </w:rPr>
        <w:t>5</w:t>
      </w:r>
      <w:r>
        <w:rPr>
          <w:rFonts w:eastAsia="方正仿宋_GBK" w:hint="eastAsia"/>
          <w:sz w:val="32"/>
          <w:szCs w:val="32"/>
        </w:rPr>
        <w:t>年预算</w:t>
      </w:r>
      <w:r>
        <w:rPr>
          <w:rFonts w:eastAsia="方正仿宋_GBK"/>
          <w:sz w:val="32"/>
          <w:szCs w:val="32"/>
        </w:rPr>
        <w:t>49.77</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w:t>
      </w:r>
      <w:r>
        <w:rPr>
          <w:rFonts w:eastAsia="方正仿宋_GBK" w:hint="eastAsia"/>
          <w:sz w:val="32"/>
          <w:szCs w:val="32"/>
        </w:rPr>
        <w:t>2.37万元，</w:t>
      </w:r>
      <w:r>
        <w:rPr>
          <w:rFonts w:eastAsia="方正仿宋_GBK"/>
          <w:sz w:val="32"/>
          <w:szCs w:val="32"/>
        </w:rPr>
        <w:t>下降</w:t>
      </w:r>
      <w:r>
        <w:rPr>
          <w:rFonts w:eastAsia="方正仿宋_GBK" w:hint="eastAsia"/>
          <w:sz w:val="32"/>
          <w:szCs w:val="32"/>
        </w:rPr>
        <w:t>4.</w:t>
      </w:r>
      <w:r>
        <w:rPr>
          <w:rFonts w:eastAsia="方正仿宋_GBK"/>
          <w:sz w:val="32"/>
          <w:szCs w:val="32"/>
        </w:rPr>
        <w:t>55</w:t>
      </w:r>
      <w:r>
        <w:rPr>
          <w:rFonts w:eastAsia="方正仿宋_GBK" w:hint="eastAsia"/>
          <w:sz w:val="32"/>
          <w:szCs w:val="32"/>
        </w:rPr>
        <w:t>%。其中：</w:t>
      </w:r>
    </w:p>
    <w:p>
      <w:pPr>
        <w:pStyle w:val="764"/>
        <w:spacing w:line="560" w:lineRule="exact"/>
        <w:ind w:firstLineChars="200" w:firstLine="640"/>
        <w:rPr>
          <w:rFonts w:eastAsia="方正仿宋_GBK"/>
          <w:sz w:val="32"/>
          <w:szCs w:val="32"/>
        </w:rPr>
      </w:pPr>
      <w:r>
        <w:rPr>
          <w:rFonts w:eastAsia="方正仿宋_GBK" w:hint="eastAsia"/>
          <w:sz w:val="32"/>
          <w:szCs w:val="32"/>
        </w:rPr>
        <w:t>（1）机关事业单位基本养老保险缴费支出（项）202</w:t>
      </w:r>
      <w:r>
        <w:rPr>
          <w:rFonts w:eastAsia="方正仿宋_GBK"/>
          <w:sz w:val="32"/>
          <w:szCs w:val="32"/>
        </w:rPr>
        <w:t>5</w:t>
      </w:r>
      <w:r>
        <w:rPr>
          <w:rFonts w:eastAsia="方正仿宋_GBK" w:hint="eastAsia"/>
          <w:sz w:val="32"/>
          <w:szCs w:val="32"/>
        </w:rPr>
        <w:t>年预算</w:t>
      </w:r>
      <w:r>
        <w:rPr>
          <w:rFonts w:eastAsia="方正仿宋_GBK"/>
          <w:sz w:val="32"/>
          <w:szCs w:val="32"/>
        </w:rPr>
        <w:t>33.18</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w:t>
      </w:r>
      <w:r>
        <w:rPr>
          <w:rFonts w:eastAsia="方正仿宋_GBK" w:hint="eastAsia"/>
          <w:sz w:val="32"/>
          <w:szCs w:val="32"/>
        </w:rPr>
        <w:t>1.58万元，</w:t>
      </w:r>
      <w:r>
        <w:rPr>
          <w:rFonts w:eastAsia="方正仿宋_GBK"/>
          <w:sz w:val="32"/>
          <w:szCs w:val="32"/>
        </w:rPr>
        <w:t>下降4.55</w:t>
      </w:r>
      <w:r>
        <w:rPr>
          <w:rFonts w:eastAsia="方正仿宋_GBK" w:hint="eastAsia"/>
          <w:sz w:val="32"/>
          <w:szCs w:val="32"/>
        </w:rPr>
        <w:t>%。主要是基本养老保险单位缴费经费</w:t>
      </w:r>
      <w:r>
        <w:rPr>
          <w:rFonts w:eastAsia="方正仿宋_GBK"/>
          <w:sz w:val="32"/>
          <w:szCs w:val="32"/>
        </w:rPr>
        <w:t>减少</w:t>
      </w:r>
      <w:r>
        <w:rPr>
          <w:rFonts w:eastAsia="方正仿宋_GBK" w:hint="eastAsia"/>
          <w:sz w:val="32"/>
          <w:szCs w:val="32"/>
        </w:rPr>
        <w:t>。</w:t>
      </w:r>
    </w:p>
    <w:p>
      <w:pPr>
        <w:pStyle w:val="721"/>
        <w:spacing w:line="560" w:lineRule="exact"/>
        <w:ind w:firstLineChars="200" w:firstLine="640"/>
        <w:rPr>
          <w:rFonts w:eastAsia="方正仿宋_GBK"/>
          <w:sz w:val="32"/>
          <w:szCs w:val="32"/>
        </w:rPr>
      </w:pPr>
      <w:r>
        <w:rPr>
          <w:rFonts w:eastAsia="方正仿宋_GBK" w:hint="eastAsia"/>
          <w:sz w:val="32"/>
          <w:szCs w:val="32"/>
        </w:rPr>
        <w:t>（2）机关事业单位职业年金缴费支出（项）202</w:t>
      </w:r>
      <w:r>
        <w:rPr>
          <w:rFonts w:eastAsia="方正仿宋_GBK"/>
          <w:sz w:val="32"/>
          <w:szCs w:val="32"/>
        </w:rPr>
        <w:t>5</w:t>
      </w:r>
      <w:r>
        <w:rPr>
          <w:rFonts w:eastAsia="方正仿宋_GBK" w:hint="eastAsia"/>
          <w:sz w:val="32"/>
          <w:szCs w:val="32"/>
        </w:rPr>
        <w:t>年预算1</w:t>
      </w:r>
      <w:r>
        <w:rPr>
          <w:rFonts w:eastAsia="方正仿宋_GBK"/>
          <w:sz w:val="32"/>
          <w:szCs w:val="32"/>
        </w:rPr>
        <w:t>6</w:t>
      </w:r>
      <w:r>
        <w:rPr>
          <w:rFonts w:eastAsia="方正仿宋_GBK" w:hint="eastAsia"/>
          <w:sz w:val="32"/>
          <w:szCs w:val="32"/>
        </w:rPr>
        <w:t>.</w:t>
      </w:r>
      <w:r>
        <w:rPr>
          <w:rFonts w:eastAsia="方正仿宋_GBK"/>
          <w:sz w:val="32"/>
          <w:szCs w:val="32"/>
        </w:rPr>
        <w:t>59</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w:t>
      </w:r>
      <w:r>
        <w:rPr>
          <w:rFonts w:eastAsia="方正仿宋_GBK" w:hint="eastAsia"/>
          <w:sz w:val="32"/>
          <w:szCs w:val="32"/>
        </w:rPr>
        <w:t>0.79万元，</w:t>
      </w:r>
      <w:r>
        <w:rPr>
          <w:rFonts w:eastAsia="方正仿宋_GBK"/>
          <w:sz w:val="32"/>
          <w:szCs w:val="32"/>
        </w:rPr>
        <w:t>下降</w:t>
      </w:r>
      <w:r>
        <w:rPr>
          <w:rFonts w:eastAsia="方正仿宋_GBK" w:hint="eastAsia"/>
          <w:sz w:val="32"/>
          <w:szCs w:val="32"/>
        </w:rPr>
        <w:t>4.</w:t>
      </w:r>
      <w:r>
        <w:rPr>
          <w:rFonts w:eastAsia="方正仿宋_GBK"/>
          <w:sz w:val="32"/>
          <w:szCs w:val="32"/>
        </w:rPr>
        <w:t>55</w:t>
      </w:r>
      <w:r>
        <w:rPr>
          <w:rFonts w:eastAsia="方正仿宋_GBK" w:hint="eastAsia"/>
          <w:sz w:val="32"/>
          <w:szCs w:val="32"/>
        </w:rPr>
        <w:t>%。主要是职业年金单位缴费经费</w:t>
      </w:r>
      <w:r>
        <w:rPr>
          <w:rFonts w:eastAsia="方正仿宋_GBK"/>
          <w:sz w:val="32"/>
          <w:szCs w:val="32"/>
        </w:rPr>
        <w:t>减少</w:t>
      </w:r>
      <w:r>
        <w:rPr>
          <w:rFonts w:eastAsia="方正仿宋_GBK" w:hint="eastAsia"/>
          <w:sz w:val="32"/>
          <w:szCs w:val="32"/>
        </w:rPr>
        <w:t>。</w:t>
      </w:r>
    </w:p>
    <w:p>
      <w:pPr>
        <w:pStyle w:val="721"/>
        <w:spacing w:line="560" w:lineRule="exact"/>
        <w:ind w:firstLineChars="200" w:firstLine="640"/>
        <w:rPr>
          <w:rFonts w:eastAsia="方正仿宋_GBK"/>
          <w:sz w:val="32"/>
          <w:szCs w:val="32"/>
        </w:rPr>
      </w:pPr>
      <w:r>
        <w:rPr>
          <w:rFonts w:eastAsia="方正仿宋_GBK"/>
          <w:sz w:val="32"/>
          <w:szCs w:val="32"/>
        </w:rPr>
        <w:t>3</w:t>
      </w:r>
      <w:r>
        <w:rPr>
          <w:rFonts w:eastAsia="方正仿宋_GBK" w:hint="eastAsia"/>
          <w:sz w:val="32"/>
          <w:szCs w:val="32"/>
        </w:rPr>
        <w:t>．住房保障支出（类）住房改革支出（款）住房公积金（项）202</w:t>
      </w:r>
      <w:r>
        <w:rPr>
          <w:rFonts w:eastAsia="方正仿宋_GBK"/>
          <w:sz w:val="32"/>
          <w:szCs w:val="32"/>
        </w:rPr>
        <w:t>5</w:t>
      </w:r>
      <w:r>
        <w:rPr>
          <w:rFonts w:eastAsia="方正仿宋_GBK" w:hint="eastAsia"/>
          <w:sz w:val="32"/>
          <w:szCs w:val="32"/>
        </w:rPr>
        <w:t>年预算3</w:t>
      </w:r>
      <w:r>
        <w:rPr>
          <w:rFonts w:eastAsia="方正仿宋_GBK"/>
          <w:sz w:val="32"/>
          <w:szCs w:val="32"/>
        </w:rPr>
        <w:t>8</w:t>
      </w:r>
      <w:r>
        <w:rPr>
          <w:rFonts w:eastAsia="方正仿宋_GBK" w:hint="eastAsia"/>
          <w:sz w:val="32"/>
          <w:szCs w:val="32"/>
        </w:rPr>
        <w:t>.</w:t>
      </w:r>
      <w:r>
        <w:rPr>
          <w:rFonts w:eastAsia="方正仿宋_GBK"/>
          <w:sz w:val="32"/>
          <w:szCs w:val="32"/>
        </w:rPr>
        <w:t>37</w:t>
      </w:r>
      <w:r>
        <w:rPr>
          <w:rFonts w:eastAsia="方正仿宋_GBK" w:hint="eastAsia"/>
          <w:sz w:val="32"/>
          <w:szCs w:val="32"/>
        </w:rPr>
        <w:t>万元，比202</w:t>
      </w:r>
      <w:r>
        <w:rPr>
          <w:rFonts w:eastAsia="方正仿宋_GBK"/>
          <w:sz w:val="32"/>
          <w:szCs w:val="32"/>
        </w:rPr>
        <w:t>4</w:t>
      </w:r>
      <w:r>
        <w:rPr>
          <w:rFonts w:eastAsia="方正仿宋_GBK" w:hint="eastAsia"/>
          <w:sz w:val="32"/>
          <w:szCs w:val="32"/>
        </w:rPr>
        <w:t>年执行数</w:t>
      </w:r>
      <w:r>
        <w:rPr>
          <w:rFonts w:eastAsia="方正仿宋_GBK"/>
          <w:sz w:val="32"/>
          <w:szCs w:val="32"/>
        </w:rPr>
        <w:t>减少1</w:t>
      </w:r>
      <w:r>
        <w:rPr>
          <w:rFonts w:eastAsia="方正仿宋_GBK" w:hint="eastAsia"/>
          <w:sz w:val="32"/>
          <w:szCs w:val="32"/>
        </w:rPr>
        <w:t>.</w:t>
      </w:r>
      <w:r>
        <w:rPr>
          <w:rFonts w:eastAsia="方正仿宋_GBK"/>
          <w:sz w:val="32"/>
          <w:szCs w:val="32"/>
        </w:rPr>
        <w:t>23</w:t>
      </w:r>
      <w:r>
        <w:rPr>
          <w:rFonts w:eastAsia="方正仿宋_GBK" w:hint="eastAsia"/>
          <w:sz w:val="32"/>
          <w:szCs w:val="32"/>
        </w:rPr>
        <w:t>万元，</w:t>
      </w:r>
      <w:r>
        <w:rPr>
          <w:rFonts w:eastAsia="方正仿宋_GBK"/>
          <w:sz w:val="32"/>
          <w:szCs w:val="32"/>
        </w:rPr>
        <w:t>下降3</w:t>
      </w:r>
      <w:r>
        <w:rPr>
          <w:rFonts w:eastAsia="方正仿宋_GBK" w:hint="eastAsia"/>
          <w:sz w:val="32"/>
          <w:szCs w:val="32"/>
        </w:rPr>
        <w:t>.</w:t>
      </w:r>
      <w:r>
        <w:rPr>
          <w:rFonts w:eastAsia="方正仿宋_GBK"/>
          <w:sz w:val="32"/>
          <w:szCs w:val="32"/>
        </w:rPr>
        <w:t>11</w:t>
      </w:r>
      <w:r>
        <w:rPr>
          <w:rFonts w:eastAsia="方正仿宋_GBK" w:hint="eastAsia"/>
          <w:sz w:val="32"/>
          <w:szCs w:val="32"/>
        </w:rPr>
        <w:t>%。主要是住房保障支出</w:t>
      </w:r>
      <w:r>
        <w:rPr>
          <w:rFonts w:eastAsia="方正仿宋_GBK"/>
          <w:sz w:val="32"/>
          <w:szCs w:val="32"/>
        </w:rPr>
        <w:t>减少。</w:t>
      </w:r>
    </w:p>
    <w:p>
      <w:pPr>
        <w:pStyle w:val="722"/>
        <w:spacing w:line="560" w:lineRule="exact"/>
        <w:ind w:firstLineChars="200" w:firstLine="640"/>
        <w:rPr>
          <w:rFonts w:eastAsia="方正黑体_GBK"/>
          <w:sz w:val="32"/>
          <w:szCs w:val="32"/>
        </w:rPr>
      </w:pPr>
      <w:r>
        <w:rPr>
          <w:rFonts w:eastAsia="方正黑体_GBK" w:hint="eastAsia"/>
          <w:sz w:val="32"/>
          <w:szCs w:val="32"/>
        </w:rPr>
        <w:t>六、关于茂名海关综合技术服务中心202</w:t>
      </w:r>
      <w:r>
        <w:rPr>
          <w:rFonts w:eastAsia="方正黑体_GBK"/>
          <w:sz w:val="32"/>
          <w:szCs w:val="32"/>
        </w:rPr>
        <w:t>5</w:t>
      </w:r>
      <w:r>
        <w:rPr>
          <w:rFonts w:eastAsia="方正黑体_GBK" w:hint="eastAsia"/>
          <w:sz w:val="32"/>
          <w:szCs w:val="32"/>
        </w:rPr>
        <w:t>年一般公共预算基本支出情况说明</w:t>
      </w:r>
    </w:p>
    <w:p>
      <w:pPr>
        <w:pStyle w:val="721"/>
        <w:spacing w:line="560" w:lineRule="exact"/>
        <w:ind w:firstLineChars="200" w:firstLine="640"/>
        <w:rPr>
          <w:rFonts w:eastAsia="方正仿宋_GBK"/>
          <w:sz w:val="32"/>
          <w:szCs w:val="32"/>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年一般公共预算基本支出3</w:t>
      </w:r>
      <w:r>
        <w:rPr>
          <w:rFonts w:eastAsia="方正仿宋_GBK"/>
          <w:sz w:val="32"/>
          <w:szCs w:val="32"/>
        </w:rPr>
        <w:t>48.05</w:t>
      </w:r>
      <w:r>
        <w:rPr>
          <w:rFonts w:eastAsia="方正仿宋_GBK" w:hint="eastAsia"/>
          <w:sz w:val="32"/>
          <w:szCs w:val="32"/>
        </w:rPr>
        <w:t>万元，其中：</w:t>
      </w:r>
    </w:p>
    <w:p>
      <w:pPr>
        <w:pStyle w:val="721"/>
        <w:spacing w:line="560" w:lineRule="exact"/>
        <w:ind w:firstLineChars="200" w:firstLine="640"/>
        <w:rPr>
          <w:rFonts w:eastAsia="方正仿宋_GBK"/>
          <w:sz w:val="32"/>
          <w:szCs w:val="32"/>
        </w:rPr>
      </w:pPr>
      <w:r>
        <w:rPr>
          <w:rFonts w:eastAsia="方正仿宋_GBK" w:hint="eastAsia"/>
          <w:sz w:val="32"/>
          <w:szCs w:val="32"/>
        </w:rPr>
        <w:t>人员经费2</w:t>
      </w:r>
      <w:r>
        <w:rPr>
          <w:rFonts w:eastAsia="方正仿宋_GBK"/>
          <w:sz w:val="32"/>
          <w:szCs w:val="32"/>
        </w:rPr>
        <w:t>79</w:t>
      </w:r>
      <w:r>
        <w:rPr>
          <w:rFonts w:eastAsia="方正仿宋_GBK" w:hint="eastAsia"/>
          <w:sz w:val="32"/>
          <w:szCs w:val="32"/>
        </w:rPr>
        <w:t>.</w:t>
      </w:r>
      <w:r>
        <w:rPr>
          <w:rFonts w:eastAsia="方正仿宋_GBK"/>
          <w:sz w:val="32"/>
          <w:szCs w:val="32"/>
        </w:rPr>
        <w:t>9</w:t>
      </w:r>
      <w:r>
        <w:rPr>
          <w:rFonts w:eastAsia="方正仿宋_GBK" w:hint="eastAsia"/>
          <w:sz w:val="32"/>
          <w:szCs w:val="32"/>
        </w:rPr>
        <w:t>5万元，主要包括：基本工资、绩效工资、机关事业单位基本养老保险缴费、职业年金缴费、住房公积金；</w:t>
      </w:r>
    </w:p>
    <w:p>
      <w:pPr>
        <w:pStyle w:val="721"/>
        <w:spacing w:line="560" w:lineRule="exact"/>
        <w:ind w:firstLineChars="200" w:firstLine="640"/>
        <w:rPr>
          <w:rFonts w:eastAsia="方正仿宋_GBK"/>
          <w:sz w:val="32"/>
          <w:szCs w:val="32"/>
        </w:rPr>
      </w:pPr>
      <w:r>
        <w:rPr>
          <w:rFonts w:eastAsia="方正仿宋_GBK" w:hint="eastAsia"/>
          <w:sz w:val="32"/>
          <w:szCs w:val="32"/>
        </w:rPr>
        <w:t>日常公用经费</w:t>
      </w:r>
      <w:r>
        <w:rPr>
          <w:rFonts w:eastAsia="方正仿宋_GBK"/>
          <w:sz w:val="32"/>
          <w:szCs w:val="32"/>
        </w:rPr>
        <w:t>68</w:t>
      </w:r>
      <w:r>
        <w:rPr>
          <w:rFonts w:eastAsia="方正仿宋_GBK" w:hint="eastAsia"/>
          <w:sz w:val="32"/>
          <w:szCs w:val="32"/>
        </w:rPr>
        <w:t>.1</w:t>
      </w:r>
      <w:r>
        <w:rPr>
          <w:rFonts w:eastAsia="方正仿宋_GBK"/>
          <w:sz w:val="32"/>
          <w:szCs w:val="32"/>
        </w:rPr>
        <w:t>0</w:t>
      </w:r>
      <w:r>
        <w:rPr>
          <w:rFonts w:eastAsia="方正仿宋_GBK" w:hint="eastAsia"/>
          <w:sz w:val="32"/>
          <w:szCs w:val="32"/>
        </w:rPr>
        <w:t>万元，主要包括：办公费、印刷费、水费、电费、邮电费、物业管理费、差旅费、维修（护）费、培训费、公务接待费、专用材料费、劳务费、工会经费、福利费、其他商品和服务支出。</w:t>
      </w:r>
    </w:p>
    <w:p>
      <w:pPr>
        <w:pStyle w:val="28"/>
        <w:spacing w:line="560" w:lineRule="exact"/>
        <w:ind w:firstLineChars="200" w:firstLine="640"/>
        <w:rPr>
          <w:rFonts w:eastAsia="方正黑体_GBK"/>
          <w:sz w:val="32"/>
          <w:szCs w:val="32"/>
        </w:rPr>
      </w:pPr>
      <w:r>
        <w:rPr>
          <w:rFonts w:eastAsia="方正黑体_GBK" w:hint="eastAsia"/>
          <w:sz w:val="32"/>
          <w:szCs w:val="32"/>
        </w:rPr>
        <w:t>七、关于茂名海关综合技术服务中心202</w:t>
      </w:r>
      <w:r>
        <w:rPr>
          <w:rFonts w:eastAsia="方正黑体_GBK"/>
          <w:sz w:val="32"/>
          <w:szCs w:val="32"/>
        </w:rPr>
        <w:t>5</w:t>
      </w:r>
      <w:r>
        <w:rPr>
          <w:rFonts w:eastAsia="方正黑体_GBK" w:hint="eastAsia"/>
          <w:sz w:val="32"/>
          <w:szCs w:val="32"/>
        </w:rPr>
        <w:t>年政府性基金预算收支情况说明</w:t>
      </w:r>
    </w:p>
    <w:p>
      <w:pPr>
        <w:spacing w:line="560" w:lineRule="exact"/>
        <w:ind w:firstLineChars="200" w:firstLine="640"/>
        <w:jc w:val="left"/>
        <w:rPr>
          <w:rFonts w:eastAsia="方正仿宋_GBK"/>
          <w:sz w:val="32"/>
          <w:szCs w:val="32"/>
        </w:rPr>
      </w:pPr>
      <w:r>
        <w:rPr>
          <w:rFonts w:eastAsia="方正仿宋_GBK" w:hint="eastAsia"/>
          <w:sz w:val="32"/>
          <w:szCs w:val="32"/>
        </w:rPr>
        <w:t>茂名</w:t>
      </w:r>
      <w:r>
        <w:rPr>
          <w:rFonts w:eastAsia="方正仿宋_GBK"/>
          <w:sz w:val="32"/>
          <w:szCs w:val="32"/>
        </w:rPr>
        <w:t>海关</w:t>
      </w:r>
      <w:r>
        <w:rPr>
          <w:rFonts w:eastAsia="方正仿宋_GBK" w:hint="eastAsia"/>
          <w:sz w:val="32"/>
          <w:szCs w:val="32"/>
        </w:rPr>
        <w:t>2025年政府性基金预算数0万元，比2024年执行数减少</w:t>
      </w:r>
      <w:r>
        <w:rPr>
          <w:rFonts w:eastAsia="方正仿宋_GBK"/>
          <w:sz w:val="32"/>
          <w:szCs w:val="32"/>
        </w:rPr>
        <w:t>205</w:t>
      </w:r>
      <w:r>
        <w:rPr>
          <w:rFonts w:eastAsia="方正仿宋_GBK" w:hint="eastAsia"/>
          <w:sz w:val="32"/>
          <w:szCs w:val="32"/>
        </w:rPr>
        <w:t>万元，主要是超长期特别国债安排的其他支出减少。</w:t>
      </w:r>
    </w:p>
    <w:p>
      <w:pPr>
        <w:pStyle w:val="28"/>
        <w:spacing w:line="560" w:lineRule="exact"/>
        <w:ind w:firstLineChars="200" w:firstLine="640"/>
        <w:rPr>
          <w:rFonts w:eastAsia="方正黑体_GBK"/>
          <w:sz w:val="32"/>
          <w:szCs w:val="32"/>
        </w:rPr>
      </w:pPr>
      <w:r>
        <w:rPr>
          <w:rFonts w:eastAsia="方正黑体_GBK" w:hint="eastAsia"/>
          <w:sz w:val="32"/>
          <w:szCs w:val="32"/>
        </w:rPr>
        <w:t>八、关于茂名海关综合技术服务中心202</w:t>
      </w:r>
      <w:r>
        <w:rPr>
          <w:rFonts w:eastAsia="方正黑体_GBK"/>
          <w:sz w:val="32"/>
          <w:szCs w:val="32"/>
        </w:rPr>
        <w:t>5</w:t>
      </w:r>
      <w:r>
        <w:rPr>
          <w:rFonts w:eastAsia="方正黑体_GBK" w:hint="eastAsia"/>
          <w:sz w:val="32"/>
          <w:szCs w:val="32"/>
        </w:rPr>
        <w:t>年国有资本经营预算收支情况说明</w:t>
      </w:r>
    </w:p>
    <w:p>
      <w:pPr>
        <w:spacing w:line="560" w:lineRule="exact"/>
        <w:ind w:firstLineChars="200" w:firstLine="640"/>
        <w:jc w:val="left"/>
        <w:rPr>
          <w:rFonts w:eastAsia="方正仿宋_GBK"/>
          <w:sz w:val="32"/>
          <w:szCs w:val="32"/>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年无国有资本经营预算收支。</w:t>
      </w:r>
    </w:p>
    <w:p>
      <w:pPr>
        <w:pStyle w:val="722"/>
        <w:spacing w:line="560" w:lineRule="exact"/>
        <w:ind w:firstLineChars="200" w:firstLine="640"/>
        <w:rPr>
          <w:rFonts w:eastAsia="方正黑体_GBK"/>
          <w:sz w:val="32"/>
          <w:szCs w:val="32"/>
        </w:rPr>
      </w:pPr>
      <w:r>
        <w:rPr>
          <w:rFonts w:eastAsia="方正黑体_GBK" w:hint="eastAsia"/>
          <w:sz w:val="32"/>
          <w:szCs w:val="32"/>
        </w:rPr>
        <w:t>九、关于茂名海关综合技术服务中心202</w:t>
      </w:r>
      <w:r>
        <w:rPr>
          <w:rFonts w:eastAsia="方正黑体_GBK"/>
          <w:sz w:val="32"/>
          <w:szCs w:val="32"/>
        </w:rPr>
        <w:t>5</w:t>
      </w:r>
      <w:r>
        <w:rPr>
          <w:rFonts w:eastAsia="方正黑体_GBK" w:hint="eastAsia"/>
          <w:sz w:val="32"/>
          <w:szCs w:val="32"/>
        </w:rPr>
        <w:t>年“三公”经费预算情况说明</w:t>
      </w:r>
    </w:p>
    <w:p>
      <w:pPr>
        <w:pStyle w:val="721"/>
        <w:spacing w:line="560" w:lineRule="exact"/>
        <w:ind w:firstLineChars="200" w:firstLine="640"/>
        <w:rPr>
          <w:rFonts w:eastAsia="方正仿宋_GBK"/>
          <w:sz w:val="32"/>
          <w:szCs w:val="32"/>
        </w:rPr>
      </w:pPr>
      <w:r>
        <w:rPr>
          <w:rFonts w:eastAsia="方正仿宋_GBK" w:hint="eastAsia"/>
          <w:sz w:val="32"/>
          <w:szCs w:val="32"/>
        </w:rPr>
        <w:t>茂名海关综合技术服务中心202</w:t>
      </w:r>
      <w:r>
        <w:rPr>
          <w:rFonts w:eastAsia="方正仿宋_GBK"/>
          <w:sz w:val="32"/>
          <w:szCs w:val="32"/>
        </w:rPr>
        <w:t>5</w:t>
      </w:r>
      <w:r>
        <w:rPr>
          <w:rFonts w:eastAsia="方正仿宋_GBK" w:hint="eastAsia"/>
          <w:sz w:val="32"/>
          <w:szCs w:val="32"/>
        </w:rPr>
        <w:t>年“三公”经费预算数为</w:t>
      </w:r>
      <w:r>
        <w:rPr>
          <w:rFonts w:eastAsia="方正仿宋_GBK"/>
          <w:sz w:val="32"/>
          <w:szCs w:val="32"/>
        </w:rPr>
        <w:t>0.45</w:t>
      </w:r>
      <w:r>
        <w:rPr>
          <w:rFonts w:eastAsia="方正仿宋_GBK" w:hint="eastAsia"/>
          <w:sz w:val="32"/>
          <w:szCs w:val="32"/>
        </w:rPr>
        <w:t>万元，</w:t>
      </w:r>
      <w:r>
        <w:rPr>
          <w:rFonts w:eastAsia="方正仿宋_GBK"/>
          <w:sz w:val="32"/>
          <w:szCs w:val="32"/>
        </w:rPr>
        <w:t>比</w:t>
      </w:r>
      <w:r>
        <w:rPr>
          <w:rFonts w:eastAsia="方正仿宋_GBK" w:hint="eastAsia"/>
          <w:sz w:val="32"/>
          <w:szCs w:val="32"/>
        </w:rPr>
        <w:t>202</w:t>
      </w:r>
      <w:r>
        <w:rPr>
          <w:rFonts w:eastAsia="方正仿宋_GBK"/>
          <w:sz w:val="32"/>
          <w:szCs w:val="32"/>
        </w:rPr>
        <w:t>4</w:t>
      </w:r>
      <w:r>
        <w:rPr>
          <w:rFonts w:eastAsia="方正仿宋_GBK" w:hint="eastAsia"/>
          <w:sz w:val="32"/>
          <w:szCs w:val="32"/>
        </w:rPr>
        <w:t>年预算数</w:t>
      </w:r>
      <w:r>
        <w:rPr>
          <w:rFonts w:eastAsia="方正仿宋_GBK"/>
          <w:sz w:val="32"/>
          <w:szCs w:val="32"/>
        </w:rPr>
        <w:t>减少0.02万元</w:t>
      </w:r>
      <w:r>
        <w:rPr>
          <w:rFonts w:eastAsia="方正仿宋_GBK" w:hint="eastAsia"/>
          <w:sz w:val="32"/>
          <w:szCs w:val="32"/>
        </w:rPr>
        <w:t>。</w:t>
      </w:r>
      <w:r>
        <w:rPr>
          <w:rFonts w:eastAsia="方正仿宋_GBK"/>
          <w:sz w:val="32"/>
          <w:szCs w:val="32"/>
        </w:rPr>
        <w:t>其中：</w:t>
      </w:r>
      <w:r>
        <w:rPr>
          <w:rFonts w:eastAsia="方正仿宋_GBK" w:hint="eastAsia"/>
          <w:sz w:val="32"/>
          <w:szCs w:val="32"/>
        </w:rPr>
        <w:t>公务接待费</w:t>
      </w:r>
      <w:r>
        <w:rPr>
          <w:rFonts w:eastAsia="方正仿宋_GBK"/>
          <w:sz w:val="32"/>
          <w:szCs w:val="32"/>
        </w:rPr>
        <w:t>0.45万元；无</w:t>
      </w:r>
      <w:r>
        <w:rPr>
          <w:rFonts w:eastAsia="方正仿宋_GBK" w:hint="eastAsia"/>
          <w:sz w:val="32"/>
          <w:szCs w:val="32"/>
        </w:rPr>
        <w:t>因公出国（境）费</w:t>
      </w:r>
      <w:r>
        <w:rPr>
          <w:rFonts w:eastAsia="方正仿宋_GBK"/>
          <w:sz w:val="32"/>
          <w:szCs w:val="32"/>
        </w:rPr>
        <w:t>；无</w:t>
      </w:r>
      <w:r>
        <w:rPr>
          <w:rFonts w:eastAsia="方正仿宋_GBK" w:hint="eastAsia"/>
          <w:sz w:val="32"/>
          <w:szCs w:val="32"/>
        </w:rPr>
        <w:t>公务用车运行费</w:t>
      </w:r>
      <w:r>
        <w:rPr>
          <w:rFonts w:eastAsia="方正仿宋_GBK"/>
          <w:sz w:val="32"/>
          <w:szCs w:val="32"/>
        </w:rPr>
        <w:t>。</w:t>
      </w:r>
    </w:p>
    <w:p>
      <w:pPr>
        <w:pStyle w:val="28"/>
        <w:spacing w:line="560" w:lineRule="exact"/>
        <w:ind w:firstLineChars="200" w:firstLine="640"/>
        <w:rPr>
          <w:rFonts w:eastAsia="方正黑体_GBK"/>
          <w:sz w:val="32"/>
          <w:szCs w:val="32"/>
        </w:rPr>
      </w:pPr>
      <w:r>
        <w:rPr>
          <w:rFonts w:eastAsia="方正黑体_GBK" w:hint="eastAsia"/>
          <w:sz w:val="32"/>
          <w:szCs w:val="32"/>
        </w:rPr>
        <w:t>十、其他重要事项情况说明</w:t>
      </w:r>
    </w:p>
    <w:p>
      <w:pPr>
        <w:spacing w:line="560" w:lineRule="exact"/>
        <w:ind w:firstLineChars="200" w:firstLine="640"/>
        <w:jc w:val="left"/>
        <w:rPr>
          <w:rFonts w:eastAsia="方正楷体_GBK"/>
          <w:b/>
          <w:bCs/>
          <w:sz w:val="32"/>
          <w:szCs w:val="32"/>
        </w:rPr>
      </w:pPr>
      <w:r>
        <w:rPr>
          <w:rFonts w:eastAsia="方正楷体_GBK" w:hint="eastAsia"/>
          <w:b/>
          <w:bCs/>
          <w:sz w:val="32"/>
          <w:szCs w:val="32"/>
        </w:rPr>
        <w:t>（一）政府采购情况。</w:t>
      </w:r>
    </w:p>
    <w:p>
      <w:pPr>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5</w:t>
      </w:r>
      <w:r>
        <w:rPr>
          <w:rFonts w:eastAsia="方正仿宋_GBK" w:hint="eastAsia"/>
          <w:sz w:val="32"/>
          <w:szCs w:val="32"/>
        </w:rPr>
        <w:t>年茂名海关综合技术服务中心政府采购预算总额</w:t>
      </w:r>
      <w:r>
        <w:rPr>
          <w:rFonts w:eastAsia="方正仿宋_GBK"/>
          <w:sz w:val="32"/>
          <w:szCs w:val="32"/>
        </w:rPr>
        <w:t>575</w:t>
      </w:r>
      <w:r>
        <w:rPr>
          <w:rFonts w:eastAsia="方正仿宋_GBK" w:hint="eastAsia"/>
          <w:sz w:val="32"/>
          <w:szCs w:val="32"/>
        </w:rPr>
        <w:t>.</w:t>
      </w:r>
      <w:r>
        <w:rPr>
          <w:rFonts w:eastAsia="方正仿宋_GBK"/>
          <w:sz w:val="32"/>
          <w:szCs w:val="32"/>
        </w:rPr>
        <w:t>55</w:t>
      </w:r>
      <w:r>
        <w:rPr>
          <w:rFonts w:eastAsia="方正仿宋_GBK" w:hint="eastAsia"/>
          <w:sz w:val="32"/>
          <w:szCs w:val="32"/>
        </w:rPr>
        <w:t>万元，其中，政府采购货物预算</w:t>
      </w:r>
      <w:r>
        <w:rPr>
          <w:rFonts w:eastAsia="方正仿宋_GBK"/>
          <w:sz w:val="32"/>
          <w:szCs w:val="32"/>
        </w:rPr>
        <w:t>415</w:t>
      </w:r>
      <w:r>
        <w:rPr>
          <w:rFonts w:eastAsia="方正仿宋_GBK" w:hint="eastAsia"/>
          <w:sz w:val="32"/>
          <w:szCs w:val="32"/>
        </w:rPr>
        <w:t>.</w:t>
      </w:r>
      <w:r>
        <w:rPr>
          <w:rFonts w:eastAsia="方正仿宋_GBK"/>
          <w:sz w:val="32"/>
          <w:szCs w:val="32"/>
        </w:rPr>
        <w:t>55</w:t>
      </w:r>
      <w:r>
        <w:rPr>
          <w:rFonts w:eastAsia="方正仿宋_GBK" w:hint="eastAsia"/>
          <w:sz w:val="32"/>
          <w:szCs w:val="32"/>
        </w:rPr>
        <w:t>万元、政府采购服务预算1</w:t>
      </w:r>
      <w:r>
        <w:rPr>
          <w:rFonts w:eastAsia="方正仿宋_GBK"/>
          <w:sz w:val="32"/>
          <w:szCs w:val="32"/>
        </w:rPr>
        <w:t>60.00</w:t>
      </w:r>
      <w:r>
        <w:rPr>
          <w:rFonts w:eastAsia="方正仿宋_GBK" w:hint="eastAsia"/>
          <w:sz w:val="32"/>
          <w:szCs w:val="32"/>
        </w:rPr>
        <w:t>万元。</w:t>
      </w:r>
    </w:p>
    <w:p>
      <w:pPr>
        <w:pStyle w:val="758"/>
        <w:spacing w:line="560" w:lineRule="exact"/>
        <w:ind w:firstLineChars="200" w:firstLine="640"/>
        <w:rPr>
          <w:rFonts w:eastAsia="方正楷体_GBK"/>
          <w:b/>
          <w:bCs/>
          <w:sz w:val="32"/>
          <w:szCs w:val="32"/>
        </w:rPr>
      </w:pPr>
      <w:r>
        <w:rPr>
          <w:rFonts w:eastAsia="方正楷体_GBK" w:hint="eastAsia"/>
          <w:b/>
          <w:bCs/>
          <w:sz w:val="32"/>
          <w:szCs w:val="32"/>
        </w:rPr>
        <w:t>（二）国有资产占有使用情况</w:t>
      </w:r>
    </w:p>
    <w:p>
      <w:pPr>
        <w:spacing w:line="560" w:lineRule="exact"/>
        <w:ind w:firstLineChars="200" w:firstLine="640"/>
        <w:jc w:val="left"/>
        <w:rPr>
          <w:rFonts w:eastAsia="方正仿宋_GBK"/>
          <w:sz w:val="32"/>
          <w:szCs w:val="32"/>
        </w:rPr>
      </w:pPr>
      <w:r>
        <w:rPr>
          <w:rFonts w:eastAsia="方正仿宋_GBK" w:hint="eastAsia"/>
          <w:sz w:val="32"/>
          <w:szCs w:val="32"/>
        </w:rPr>
        <w:t>截至202</w:t>
      </w:r>
      <w:r>
        <w:rPr>
          <w:rFonts w:eastAsia="方正仿宋_GBK"/>
          <w:sz w:val="32"/>
          <w:szCs w:val="32"/>
        </w:rPr>
        <w:t>4</w:t>
      </w:r>
      <w:r>
        <w:rPr>
          <w:rFonts w:eastAsia="方正仿宋_GBK" w:hint="eastAsia"/>
          <w:sz w:val="32"/>
          <w:szCs w:val="32"/>
        </w:rPr>
        <w:t>年</w:t>
      </w:r>
      <w:r>
        <w:rPr>
          <w:rFonts w:eastAsia="方正仿宋_GBK"/>
          <w:sz w:val="32"/>
          <w:szCs w:val="32"/>
        </w:rPr>
        <w:t>7</w:t>
      </w:r>
      <w:r>
        <w:rPr>
          <w:rFonts w:eastAsia="方正仿宋_GBK" w:hint="eastAsia"/>
          <w:sz w:val="32"/>
          <w:szCs w:val="32"/>
        </w:rPr>
        <w:t>月31日，茂名海关综合技术服务中心共有车辆6辆，</w:t>
      </w:r>
      <w:r>
        <w:rPr>
          <w:rFonts w:eastAsia="方正仿宋_GBK"/>
          <w:sz w:val="32"/>
          <w:szCs w:val="32"/>
        </w:rPr>
        <w:t>均</w:t>
      </w:r>
      <w:r>
        <w:rPr>
          <w:rFonts w:eastAsia="方正仿宋_GBK" w:hint="eastAsia"/>
          <w:sz w:val="32"/>
          <w:szCs w:val="32"/>
        </w:rPr>
        <w:t>为其他用车</w:t>
      </w:r>
      <w:r>
        <w:rPr>
          <w:rFonts w:eastAsia="方正仿宋_GBK"/>
          <w:sz w:val="32"/>
          <w:szCs w:val="32"/>
        </w:rPr>
        <w:t>。</w:t>
      </w:r>
    </w:p>
    <w:p>
      <w:pPr>
        <w:spacing w:line="560" w:lineRule="exact"/>
        <w:ind w:firstLineChars="200" w:firstLine="640"/>
        <w:jc w:val="left"/>
        <w:rPr>
          <w:rFonts w:eastAsia="方正楷体_GBK"/>
          <w:b/>
          <w:bCs/>
          <w:sz w:val="32"/>
          <w:szCs w:val="32"/>
        </w:rPr>
      </w:pPr>
      <w:r>
        <w:rPr>
          <w:rFonts w:eastAsia="方正楷体_GBK" w:hint="eastAsia"/>
          <w:b/>
          <w:bCs/>
          <w:sz w:val="32"/>
          <w:szCs w:val="32"/>
        </w:rPr>
        <w:t>（三）预算绩效情况说明。</w:t>
      </w:r>
    </w:p>
    <w:p>
      <w:pPr>
        <w:autoSpaceDN w:val="0"/>
        <w:spacing w:line="560" w:lineRule="exact"/>
        <w:ind w:firstLineChars="200" w:firstLine="640"/>
        <w:rPr>
          <w:rFonts w:eastAsia="方正仿宋_GBK"/>
          <w:sz w:val="32"/>
          <w:szCs w:val="32"/>
        </w:rPr>
      </w:pPr>
      <w:r>
        <w:rPr>
          <w:rFonts w:eastAsia="方正仿宋_GBK"/>
          <w:sz w:val="32"/>
          <w:szCs w:val="32"/>
        </w:rPr>
        <w:t>2025</w:t>
      </w:r>
      <w:r>
        <w:rPr>
          <w:rFonts w:eastAsia="方正仿宋_GBK" w:hint="eastAsia"/>
          <w:sz w:val="32"/>
          <w:szCs w:val="32"/>
        </w:rPr>
        <w:t>年对茂名海关综合技术服务中心一般公共预算和政府性基金预算拨款项目全面实施绩效目标管理，涉及</w:t>
      </w:r>
      <w:r>
        <w:rPr>
          <w:rFonts w:eastAsia="方正仿宋_GBK"/>
          <w:sz w:val="32"/>
          <w:szCs w:val="32"/>
        </w:rPr>
        <w:t>1</w:t>
      </w:r>
      <w:r>
        <w:rPr>
          <w:rFonts w:eastAsia="方正仿宋_GBK" w:hint="eastAsia"/>
          <w:sz w:val="32"/>
          <w:szCs w:val="32"/>
        </w:rPr>
        <w:t>个末级预算单位的一般公共预算拨款</w:t>
      </w:r>
      <w:r>
        <w:rPr>
          <w:rFonts w:eastAsia="方正仿宋_GBK"/>
          <w:sz w:val="32"/>
          <w:szCs w:val="32"/>
        </w:rPr>
        <w:t>352.53</w:t>
      </w:r>
      <w:r>
        <w:rPr>
          <w:rFonts w:eastAsia="方正仿宋_GBK" w:hint="eastAsia"/>
          <w:sz w:val="32"/>
          <w:szCs w:val="32"/>
        </w:rPr>
        <w:t>万元，二级项目</w:t>
      </w:r>
      <w:r>
        <w:rPr>
          <w:rFonts w:eastAsia="方正仿宋_GBK"/>
          <w:sz w:val="32"/>
          <w:szCs w:val="32"/>
        </w:rPr>
        <w:t>3</w:t>
      </w:r>
      <w:r>
        <w:rPr>
          <w:rFonts w:eastAsia="方正仿宋_GBK" w:hint="eastAsia"/>
          <w:sz w:val="32"/>
          <w:szCs w:val="32"/>
        </w:rPr>
        <w:t>个</w:t>
      </w:r>
      <w:r>
        <w:rPr>
          <w:rFonts w:eastAsia="方正仿宋_GBK"/>
          <w:sz w:val="32"/>
          <w:szCs w:val="32"/>
        </w:rPr>
        <w:t>;</w:t>
      </w:r>
      <w:r>
        <w:rPr>
          <w:rFonts w:eastAsia="方正仿宋_GBK" w:hint="eastAsia"/>
          <w:sz w:val="32"/>
          <w:szCs w:val="32"/>
        </w:rPr>
        <w:t>政府性基金预算拨款</w:t>
      </w:r>
      <w:r>
        <w:rPr>
          <w:rFonts w:eastAsia="方正仿宋_GBK"/>
          <w:sz w:val="32"/>
          <w:szCs w:val="32"/>
        </w:rPr>
        <w:t>34.05</w:t>
      </w:r>
      <w:r>
        <w:rPr>
          <w:rFonts w:eastAsia="方正仿宋_GBK" w:hint="eastAsia"/>
          <w:sz w:val="32"/>
          <w:szCs w:val="32"/>
        </w:rPr>
        <w:t>万元，二级项目</w:t>
      </w:r>
      <w:r>
        <w:rPr>
          <w:rFonts w:eastAsia="方正仿宋_GBK"/>
          <w:sz w:val="32"/>
          <w:szCs w:val="32"/>
        </w:rPr>
        <w:t>1</w:t>
      </w:r>
      <w:r>
        <w:rPr>
          <w:rFonts w:eastAsia="方正仿宋_GBK" w:hint="eastAsia"/>
          <w:sz w:val="32"/>
          <w:szCs w:val="32"/>
        </w:rPr>
        <w:t>个。公开情况详见第五部分附件。</w:t>
      </w:r>
    </w:p>
    <w:p>
      <w:pPr>
        <w:pStyle w:val="758"/>
        <w:spacing w:line="560" w:lineRule="exact"/>
        <w:ind w:firstLineChars="200" w:firstLine="640"/>
        <w:rPr>
          <w:rFonts w:eastAsia="方正仿宋_GBK"/>
          <w:sz w:val="32"/>
          <w:szCs w:val="32"/>
        </w:rP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32"/>
          <w:szCs w:val="32"/>
        </w:rPr>
      </w:pPr>
    </w:p>
    <w:p>
      <w:pPr>
        <w:pStyle w:val="747"/>
        <w:jc w:val="center"/>
        <w:rPr>
          <w:b/>
          <w:sz w:val="84"/>
          <w:szCs w:val="84"/>
        </w:rPr>
      </w:pPr>
      <w:r>
        <w:rPr>
          <w:rFonts w:hint="eastAsia"/>
          <w:b/>
          <w:sz w:val="84"/>
          <w:szCs w:val="84"/>
        </w:rPr>
        <w:t>第四部分</w:t>
      </w:r>
    </w:p>
    <w:p>
      <w:pPr>
        <w:pStyle w:val="747"/>
        <w:jc w:val="center"/>
        <w:rPr>
          <w:b/>
          <w:sz w:val="84"/>
          <w:szCs w:val="84"/>
        </w:rPr>
      </w:pPr>
      <w:r>
        <w:rPr>
          <w:rFonts w:hint="eastAsia"/>
          <w:b/>
          <w:sz w:val="84"/>
          <w:szCs w:val="84"/>
        </w:rPr>
        <w:t>名词解释</w:t>
      </w: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p>
      <w:pPr>
        <w:rPr>
          <w:b/>
          <w:szCs w:val="21"/>
        </w:rPr>
      </w:pPr>
    </w:p>
    <w:p>
      <w:pPr>
        <w:rPr>
          <w:b/>
          <w:szCs w:val="21"/>
        </w:rPr>
      </w:pPr>
    </w:p>
    <w:p>
      <w:pPr>
        <w:rPr>
          <w:b/>
          <w:szCs w:val="21"/>
        </w:rPr>
      </w:pPr>
    </w:p>
    <w:p>
      <w:pPr>
        <w:rPr>
          <w:b/>
          <w:szCs w:val="21"/>
        </w:rPr>
      </w:pPr>
    </w:p>
    <w:p>
      <w:pPr>
        <w:pStyle w:val="748"/>
        <w:spacing w:line="560" w:lineRule="exact"/>
        <w:ind w:firstLineChars="200" w:firstLine="640"/>
        <w:rPr>
          <w:rFonts w:eastAsia="方正仿宋_GBK"/>
          <w:sz w:val="32"/>
          <w:szCs w:val="32"/>
        </w:rPr>
      </w:pPr>
      <w:r>
        <w:rPr>
          <w:rFonts w:eastAsia="方正仿宋_GBK" w:hint="eastAsia"/>
          <w:b/>
          <w:bCs/>
          <w:sz w:val="32"/>
          <w:szCs w:val="32"/>
        </w:rPr>
        <w:t>一、一般公共预算拨款收入</w:t>
      </w:r>
      <w:r>
        <w:rPr>
          <w:rFonts w:eastAsia="方正仿宋_GBK" w:hint="eastAsia"/>
          <w:sz w:val="32"/>
          <w:szCs w:val="32"/>
        </w:rPr>
        <w:t>：指中央财政当年拨付的资金。</w:t>
      </w:r>
    </w:p>
    <w:p>
      <w:pPr>
        <w:pStyle w:val="748"/>
        <w:spacing w:line="560" w:lineRule="exact"/>
        <w:ind w:firstLineChars="200" w:firstLine="640"/>
        <w:rPr>
          <w:rFonts w:eastAsia="方正仿宋_GBK"/>
          <w:sz w:val="32"/>
          <w:szCs w:val="32"/>
        </w:rPr>
      </w:pPr>
      <w:r>
        <w:rPr>
          <w:rFonts w:eastAsia="方正仿宋_GBK" w:hint="eastAsia"/>
          <w:b/>
          <w:bCs/>
          <w:sz w:val="32"/>
          <w:szCs w:val="32"/>
        </w:rPr>
        <w:t>二、事业收入</w:t>
      </w:r>
      <w:r>
        <w:rPr>
          <w:rFonts w:eastAsia="方正仿宋_GBK" w:hint="eastAsia"/>
          <w:sz w:val="32"/>
          <w:szCs w:val="32"/>
        </w:rPr>
        <w:t>：指海关系统所属事业单位开展专业业务活动及辅助活动取得的收入。</w:t>
      </w:r>
    </w:p>
    <w:p>
      <w:pPr>
        <w:pStyle w:val="748"/>
        <w:spacing w:line="560" w:lineRule="exact"/>
        <w:ind w:firstLineChars="200" w:firstLine="640"/>
        <w:rPr>
          <w:rFonts w:eastAsia="方正仿宋_GBK"/>
          <w:sz w:val="32"/>
          <w:szCs w:val="32"/>
        </w:rPr>
      </w:pPr>
      <w:r>
        <w:rPr>
          <w:rFonts w:eastAsia="方正仿宋_GBK"/>
          <w:b/>
          <w:bCs/>
          <w:sz w:val="32"/>
          <w:szCs w:val="32"/>
        </w:rPr>
        <w:t>三</w:t>
      </w:r>
      <w:r>
        <w:rPr>
          <w:rFonts w:eastAsia="方正仿宋_GBK" w:hint="eastAsia"/>
          <w:b/>
          <w:bCs/>
          <w:sz w:val="32"/>
          <w:szCs w:val="32"/>
        </w:rPr>
        <w:t>、其他收入</w:t>
      </w:r>
      <w:r>
        <w:rPr>
          <w:rFonts w:eastAsia="方正仿宋_GBK" w:hint="eastAsia"/>
          <w:sz w:val="32"/>
          <w:szCs w:val="32"/>
        </w:rPr>
        <w:t>：指海关系统取得的除上述财政拨款收入、事业收入、事业单位经营收入等以外的收入。</w:t>
      </w:r>
    </w:p>
    <w:p>
      <w:pPr>
        <w:pStyle w:val="748"/>
        <w:spacing w:line="560" w:lineRule="exact"/>
        <w:ind w:firstLineChars="200" w:firstLine="640"/>
        <w:rPr>
          <w:rFonts w:eastAsia="方正仿宋_GBK"/>
          <w:sz w:val="32"/>
          <w:szCs w:val="32"/>
        </w:rPr>
      </w:pPr>
      <w:r>
        <w:rPr>
          <w:rFonts w:eastAsia="方正仿宋_GBK"/>
          <w:b/>
          <w:bCs/>
          <w:sz w:val="32"/>
          <w:szCs w:val="32"/>
        </w:rPr>
        <w:t>四</w:t>
      </w:r>
      <w:r>
        <w:rPr>
          <w:rFonts w:eastAsia="方正仿宋_GBK" w:hint="eastAsia"/>
          <w:b/>
          <w:bCs/>
          <w:sz w:val="32"/>
          <w:szCs w:val="32"/>
        </w:rPr>
        <w:t>、使用非财政拨款结余</w:t>
      </w:r>
      <w:r>
        <w:rPr>
          <w:rFonts w:eastAsia="方正仿宋_GBK" w:hint="eastAsia"/>
          <w:sz w:val="32"/>
          <w:szCs w:val="32"/>
        </w:rPr>
        <w:t>：指海关系统所属事业单位预计收入小于支出时，用非财政拨款结余弥补本年度收支差额的数额。</w:t>
      </w:r>
    </w:p>
    <w:p>
      <w:pPr>
        <w:pStyle w:val="748"/>
        <w:spacing w:line="560" w:lineRule="exact"/>
        <w:ind w:firstLineChars="200" w:firstLine="640"/>
        <w:rPr>
          <w:rFonts w:eastAsia="方正仿宋_GBK"/>
          <w:sz w:val="32"/>
          <w:szCs w:val="32"/>
        </w:rPr>
      </w:pPr>
      <w:r>
        <w:rPr>
          <w:rFonts w:eastAsia="方正仿宋_GBK"/>
          <w:b/>
          <w:bCs/>
          <w:sz w:val="32"/>
          <w:szCs w:val="32"/>
        </w:rPr>
        <w:t>五</w:t>
      </w:r>
      <w:r>
        <w:rPr>
          <w:rFonts w:eastAsia="方正仿宋_GBK" w:hint="eastAsia"/>
          <w:b/>
          <w:bCs/>
          <w:sz w:val="32"/>
          <w:szCs w:val="32"/>
        </w:rPr>
        <w:t>、上年结转</w:t>
      </w:r>
      <w:r>
        <w:rPr>
          <w:rFonts w:eastAsia="方正仿宋_GBK" w:hint="eastAsia"/>
          <w:sz w:val="32"/>
          <w:szCs w:val="32"/>
        </w:rPr>
        <w:t>：指以前年度尚未完成、结转到本年仍按原规定用途继续使用的资金等。</w:t>
      </w:r>
    </w:p>
    <w:p>
      <w:pPr>
        <w:pStyle w:val="748"/>
        <w:spacing w:line="560" w:lineRule="exact"/>
        <w:ind w:firstLineChars="200" w:firstLine="640"/>
        <w:rPr>
          <w:rFonts w:eastAsia="方正仿宋_GBK"/>
          <w:sz w:val="32"/>
          <w:szCs w:val="32"/>
        </w:rPr>
      </w:pPr>
      <w:r>
        <w:rPr>
          <w:rFonts w:eastAsia="方正仿宋_GBK"/>
          <w:b/>
          <w:bCs/>
          <w:sz w:val="32"/>
          <w:szCs w:val="32"/>
        </w:rPr>
        <w:t>六</w:t>
      </w:r>
      <w:r>
        <w:rPr>
          <w:rFonts w:eastAsia="方正仿宋_GBK" w:hint="eastAsia"/>
          <w:b/>
          <w:bCs/>
          <w:sz w:val="32"/>
          <w:szCs w:val="32"/>
        </w:rPr>
        <w:t>、一般公共服务支出（类）海关事务（款）</w:t>
      </w:r>
      <w:r>
        <w:rPr>
          <w:rFonts w:eastAsia="方正仿宋_GBK" w:hint="eastAsia"/>
          <w:sz w:val="32"/>
          <w:szCs w:val="32"/>
        </w:rPr>
        <w:t>：反映海关用于系统行政和事业单位的基本支出及完成专项业务工作的项目支出。</w:t>
      </w:r>
    </w:p>
    <w:p>
      <w:pPr>
        <w:spacing w:line="560" w:lineRule="exact"/>
        <w:ind w:firstLineChars="200" w:firstLine="640"/>
        <w:rPr>
          <w:rFonts w:eastAsia="方正仿宋_GBK"/>
          <w:sz w:val="32"/>
          <w:szCs w:val="32"/>
        </w:rPr>
      </w:pPr>
      <w:r>
        <w:rPr>
          <w:rFonts w:eastAsia="方正仿宋_GBK" w:hint="eastAsia"/>
          <w:b/>
          <w:bCs/>
          <w:sz w:val="32"/>
          <w:szCs w:val="32"/>
        </w:rPr>
        <w:t>（一）一般行政管理事务（项）</w:t>
      </w:r>
      <w:r>
        <w:rPr>
          <w:rFonts w:eastAsia="方正仿宋_GBK" w:hint="eastAsia"/>
          <w:sz w:val="32"/>
          <w:szCs w:val="32"/>
        </w:rPr>
        <w:t>：反映海关系统行政单位（包括实行公务员管理的事业单位）未单独设置项级科目的其他项目支出。</w:t>
      </w:r>
    </w:p>
    <w:p>
      <w:pPr>
        <w:autoSpaceDN w:val="0"/>
        <w:spacing w:line="560" w:lineRule="exact"/>
        <w:ind w:firstLineChars="200" w:firstLine="640"/>
        <w:rPr>
          <w:rFonts w:eastAsia="方正仿宋_GBK"/>
          <w:sz w:val="32"/>
          <w:szCs w:val="32"/>
        </w:rPr>
      </w:pPr>
      <w:r>
        <w:rPr>
          <w:rFonts w:eastAsia="方正仿宋_GBK" w:hint="eastAsia"/>
          <w:b/>
          <w:bCs/>
          <w:sz w:val="32"/>
          <w:szCs w:val="32"/>
        </w:rPr>
        <w:t>（二）海关关务（项）</w:t>
      </w:r>
      <w:r>
        <w:rPr>
          <w:rFonts w:eastAsia="方正仿宋_GBK" w:hint="eastAsia"/>
          <w:sz w:val="32"/>
          <w:szCs w:val="32"/>
        </w:rPr>
        <w:t>：反映为海关行政执法提供业务保障、支持能力以及基础设施建设、设备设施运维等方面的支出。</w:t>
      </w:r>
    </w:p>
    <w:p>
      <w:pPr>
        <w:autoSpaceDN w:val="0"/>
        <w:spacing w:line="560" w:lineRule="exact"/>
        <w:ind w:firstLineChars="200" w:firstLine="640"/>
        <w:rPr>
          <w:rFonts w:eastAsia="方正仿宋_GBK"/>
          <w:sz w:val="32"/>
          <w:szCs w:val="32"/>
        </w:rPr>
      </w:pPr>
      <w:r>
        <w:rPr>
          <w:rFonts w:eastAsia="方正仿宋_GBK" w:hint="eastAsia"/>
          <w:b/>
          <w:bCs/>
          <w:sz w:val="32"/>
          <w:szCs w:val="32"/>
        </w:rPr>
        <w:t>（三）检验检疫（项）</w:t>
      </w:r>
      <w:r>
        <w:rPr>
          <w:rFonts w:eastAsia="方正仿宋_GBK" w:hint="eastAsia"/>
          <w:sz w:val="32"/>
          <w:szCs w:val="32"/>
        </w:rPr>
        <w:t>：反映海关系统用于出入境检验检疫行政执法、业务管理及相关技术支持方面的支出。</w:t>
      </w:r>
    </w:p>
    <w:p>
      <w:pPr>
        <w:pStyle w:val="748"/>
        <w:spacing w:line="560" w:lineRule="exact"/>
        <w:ind w:firstLineChars="200" w:firstLine="640"/>
        <w:rPr>
          <w:rFonts w:eastAsia="方正仿宋_GBK"/>
          <w:sz w:val="32"/>
          <w:szCs w:val="32"/>
        </w:rPr>
      </w:pPr>
      <w:r>
        <w:rPr>
          <w:rFonts w:eastAsia="方正仿宋_GBK" w:hint="eastAsia"/>
          <w:b/>
          <w:bCs/>
          <w:sz w:val="32"/>
          <w:szCs w:val="32"/>
        </w:rPr>
        <w:t>（四）事业运行（项）</w:t>
      </w:r>
      <w:r>
        <w:rPr>
          <w:rFonts w:eastAsia="方正仿宋_GBK" w:hint="eastAsia"/>
          <w:sz w:val="32"/>
          <w:szCs w:val="32"/>
        </w:rPr>
        <w:t>：反映海关事业单位的基本支出，不包括行政单位（包括实行公务员管理的事业单位）后勤服务中心、医务室等附属事业单位。</w:t>
      </w:r>
    </w:p>
    <w:p>
      <w:pPr>
        <w:pStyle w:val="748"/>
        <w:spacing w:line="560" w:lineRule="exact"/>
        <w:ind w:firstLineChars="200" w:firstLine="640"/>
        <w:rPr>
          <w:rFonts w:eastAsia="方正仿宋_GBK"/>
          <w:sz w:val="32"/>
          <w:szCs w:val="32"/>
        </w:rPr>
      </w:pPr>
      <w:r>
        <w:rPr>
          <w:rFonts w:eastAsia="方正仿宋_GBK"/>
          <w:b/>
          <w:bCs/>
          <w:sz w:val="32"/>
          <w:szCs w:val="32"/>
        </w:rPr>
        <w:t>七</w:t>
      </w:r>
      <w:r>
        <w:rPr>
          <w:rFonts w:eastAsia="方正仿宋_GBK" w:hint="eastAsia"/>
          <w:b/>
          <w:bCs/>
          <w:sz w:val="32"/>
          <w:szCs w:val="32"/>
        </w:rPr>
        <w:t>、社会保障和就业支出（类）行政事业单位养老支出（款）</w:t>
      </w:r>
      <w:r>
        <w:rPr>
          <w:rFonts w:eastAsia="方正仿宋_GBK" w:hint="eastAsia"/>
          <w:sz w:val="32"/>
          <w:szCs w:val="32"/>
        </w:rPr>
        <w:t>：反映用于海关行政事业单位离退休方面的支出。</w:t>
      </w:r>
    </w:p>
    <w:p>
      <w:pPr>
        <w:pStyle w:val="748"/>
        <w:spacing w:line="560" w:lineRule="exact"/>
        <w:ind w:firstLineChars="200" w:firstLine="640"/>
        <w:rPr>
          <w:rFonts w:eastAsia="方正仿宋_GBK"/>
          <w:sz w:val="32"/>
          <w:szCs w:val="32"/>
        </w:rPr>
      </w:pPr>
      <w:r>
        <w:rPr>
          <w:rFonts w:eastAsia="方正仿宋_GBK" w:hint="eastAsia"/>
          <w:b/>
          <w:bCs/>
          <w:sz w:val="32"/>
          <w:szCs w:val="32"/>
        </w:rPr>
        <w:t>（一）事业单位离退休（项）</w:t>
      </w:r>
      <w:r>
        <w:rPr>
          <w:rFonts w:eastAsia="方正仿宋_GBK" w:hint="eastAsia"/>
          <w:sz w:val="32"/>
          <w:szCs w:val="32"/>
        </w:rPr>
        <w:t>：反映海关系统事业单位开支的离退休经费。</w:t>
      </w:r>
    </w:p>
    <w:p>
      <w:pPr>
        <w:pStyle w:val="748"/>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二</w:t>
      </w:r>
      <w:r>
        <w:rPr>
          <w:rFonts w:eastAsia="方正仿宋_GBK" w:hint="eastAsia"/>
          <w:b/>
          <w:bCs/>
          <w:sz w:val="32"/>
          <w:szCs w:val="32"/>
        </w:rPr>
        <w:t>）机关事业单位基本养老保险缴费支出（项）</w:t>
      </w:r>
      <w:r>
        <w:rPr>
          <w:rFonts w:eastAsia="方正仿宋_GBK" w:hint="eastAsia"/>
          <w:sz w:val="32"/>
          <w:szCs w:val="32"/>
        </w:rPr>
        <w:t>：反映已参加当地社保的在职人员的基本养老保险支出。</w:t>
      </w:r>
    </w:p>
    <w:p>
      <w:pPr>
        <w:pStyle w:val="748"/>
        <w:spacing w:line="560" w:lineRule="exact"/>
        <w:ind w:firstLineChars="200" w:firstLine="640"/>
        <w:rPr>
          <w:rFonts w:eastAsia="方正仿宋_GBK"/>
          <w:sz w:val="32"/>
          <w:szCs w:val="32"/>
        </w:rPr>
      </w:pPr>
      <w:r>
        <w:rPr>
          <w:rFonts w:eastAsia="方正仿宋_GBK" w:hint="eastAsia"/>
          <w:b/>
          <w:bCs/>
          <w:sz w:val="32"/>
          <w:szCs w:val="32"/>
        </w:rPr>
        <w:t>（</w:t>
      </w:r>
      <w:r>
        <w:rPr>
          <w:rFonts w:eastAsia="方正仿宋_GBK"/>
          <w:b/>
          <w:bCs/>
          <w:sz w:val="32"/>
          <w:szCs w:val="32"/>
        </w:rPr>
        <w:t>三</w:t>
      </w:r>
      <w:r>
        <w:rPr>
          <w:rFonts w:eastAsia="方正仿宋_GBK" w:hint="eastAsia"/>
          <w:b/>
          <w:bCs/>
          <w:sz w:val="32"/>
          <w:szCs w:val="32"/>
        </w:rPr>
        <w:t>）机关事业单位职业年金缴费支出（项）</w:t>
      </w:r>
      <w:r>
        <w:rPr>
          <w:rFonts w:eastAsia="方正仿宋_GBK" w:hint="eastAsia"/>
          <w:sz w:val="32"/>
          <w:szCs w:val="32"/>
        </w:rPr>
        <w:t>：反映已参加当地社保的在职人员的职业年金支出。</w:t>
      </w:r>
    </w:p>
    <w:p>
      <w:pPr>
        <w:pStyle w:val="748"/>
        <w:spacing w:line="560" w:lineRule="exact"/>
        <w:ind w:firstLineChars="200" w:firstLine="640"/>
        <w:rPr>
          <w:rFonts w:eastAsia="方正仿宋_GBK"/>
          <w:sz w:val="32"/>
          <w:szCs w:val="32"/>
        </w:rPr>
      </w:pPr>
      <w:r>
        <w:rPr>
          <w:rFonts w:eastAsia="方正仿宋_GBK"/>
          <w:b/>
          <w:bCs/>
          <w:sz w:val="32"/>
          <w:szCs w:val="32"/>
        </w:rPr>
        <w:t>八</w:t>
      </w:r>
      <w:r>
        <w:rPr>
          <w:rFonts w:eastAsia="方正仿宋_GBK" w:hint="eastAsia"/>
          <w:b/>
          <w:bCs/>
          <w:sz w:val="32"/>
          <w:szCs w:val="32"/>
        </w:rPr>
        <w:t>、住房保障支出（类）住房改革支出（款）</w:t>
      </w:r>
      <w:r>
        <w:rPr>
          <w:rFonts w:eastAsia="方正仿宋_GBK" w:hint="eastAsia"/>
          <w:sz w:val="32"/>
          <w:szCs w:val="32"/>
        </w:rPr>
        <w:t>：反映海关系统按照国家政策规定为职工发放的住房公积金和购房补贴等支出。住房改革支出包括</w:t>
      </w:r>
      <w:r>
        <w:rPr>
          <w:rFonts w:eastAsia="方正仿宋_GBK"/>
          <w:sz w:val="32"/>
          <w:szCs w:val="32"/>
        </w:rPr>
        <w:t>二</w:t>
      </w:r>
      <w:r>
        <w:rPr>
          <w:rFonts w:eastAsia="方正仿宋_GBK" w:hint="eastAsia"/>
          <w:sz w:val="32"/>
          <w:szCs w:val="32"/>
        </w:rPr>
        <w:t>项：</w:t>
      </w:r>
    </w:p>
    <w:p>
      <w:pPr>
        <w:pStyle w:val="748"/>
        <w:spacing w:line="560" w:lineRule="exact"/>
        <w:ind w:firstLineChars="200" w:firstLine="640"/>
        <w:rPr>
          <w:rFonts w:eastAsia="方正仿宋_GBK"/>
          <w:sz w:val="32"/>
          <w:szCs w:val="32"/>
        </w:rPr>
      </w:pPr>
      <w:r>
        <w:rPr>
          <w:rFonts w:eastAsia="方正仿宋_GBK" w:hint="eastAsia"/>
          <w:b/>
          <w:bCs/>
          <w:sz w:val="32"/>
          <w:szCs w:val="32"/>
        </w:rPr>
        <w:t>（一）住房公积金（项）</w:t>
      </w:r>
      <w:r>
        <w:rPr>
          <w:rFonts w:eastAsia="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5％，最高不超过12％，缴存基数为职工本人上年工资，目前已实施近20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pPr>
        <w:pStyle w:val="748"/>
        <w:spacing w:line="560" w:lineRule="exact"/>
        <w:ind w:firstLineChars="200" w:firstLine="640"/>
        <w:rPr>
          <w:rFonts w:eastAsia="方正仿宋_GBK"/>
          <w:sz w:val="32"/>
          <w:szCs w:val="32"/>
        </w:rPr>
      </w:pPr>
      <w:r>
        <w:rPr>
          <w:rFonts w:eastAsia="方正仿宋_GBK" w:hint="eastAsia"/>
          <w:b/>
          <w:bCs/>
          <w:sz w:val="32"/>
          <w:szCs w:val="32"/>
        </w:rPr>
        <w:t>（二）购房补贴（项）</w:t>
      </w:r>
      <w:r>
        <w:rPr>
          <w:rFonts w:eastAsia="方正仿宋_GBK" w:hint="eastAsia"/>
          <w:sz w:val="32"/>
          <w:szCs w:val="32"/>
        </w:rPr>
        <w:t>：购房补贴是根据《国务院关于进一步深化城镇住房制度改革加快住房建设的通知》（国发〔1998〕23号）的规定，从1998年下半年停止实物分房后，房价收入比超过4倍以上地区对无房和住房未达标职工发放的住房货币化改革补贴资金。中央行政事业单位从2000年开始发放购房补贴资金，地方行政事业单位从1999年陆续开始发放购房补贴资金，企业根据本单位情况自行确定。在京中央单位按照《中共中央办公厅国务院办公厅转发建设部等单位&lt;关于完善在京中央和国家机关住房制度的若干意见&gt;的通知》（厅字〔2005〕8号）规定的标准执行，京外中央单位按照所在地人民政府住房分配货币化改革的政策规定和标准执行。</w:t>
      </w:r>
    </w:p>
    <w:p>
      <w:pPr>
        <w:pStyle w:val="748"/>
        <w:spacing w:line="560" w:lineRule="exact"/>
        <w:ind w:firstLineChars="200" w:firstLine="640"/>
        <w:rPr>
          <w:rFonts w:eastAsia="方正仿宋_GBK"/>
          <w:sz w:val="32"/>
          <w:szCs w:val="32"/>
        </w:rPr>
      </w:pPr>
      <w:r>
        <w:rPr>
          <w:rFonts w:eastAsia="方正仿宋_GBK"/>
          <w:b/>
          <w:bCs/>
          <w:sz w:val="32"/>
          <w:szCs w:val="32"/>
        </w:rPr>
        <w:t>九</w:t>
      </w:r>
      <w:r>
        <w:rPr>
          <w:rFonts w:eastAsia="方正仿宋_GBK" w:hint="eastAsia"/>
          <w:b/>
          <w:bCs/>
          <w:sz w:val="32"/>
          <w:szCs w:val="32"/>
        </w:rPr>
        <w:t>、“三公”经费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p>
      <w:pPr>
        <w:jc w:val="center"/>
        <w:rPr>
          <w:b/>
          <w:sz w:val="84"/>
          <w:szCs w:val="84"/>
        </w:rPr>
      </w:pPr>
    </w:p>
    <w:p>
      <w:pPr>
        <w:rPr>
          <w:b/>
          <w:sz w:val="84"/>
          <w:szCs w:val="84"/>
        </w:rPr>
      </w:pPr>
    </w:p>
    <w:p>
      <w:pPr>
        <w:jc w:val="center"/>
        <w:rPr>
          <w:b/>
          <w:sz w:val="84"/>
          <w:szCs w:val="84"/>
        </w:rPr>
      </w:pPr>
      <w:r>
        <w:rPr>
          <w:rFonts w:hint="eastAsia"/>
          <w:b/>
          <w:sz w:val="84"/>
          <w:szCs w:val="84"/>
        </w:rPr>
        <w:t>第五部分</w:t>
      </w:r>
    </w:p>
    <w:p>
      <w:pPr>
        <w:jc w:val="center"/>
        <w:rPr>
          <w:b/>
          <w:sz w:val="84"/>
          <w:szCs w:val="84"/>
        </w:rPr>
      </w:pPr>
      <w:r>
        <w:rPr>
          <w:rFonts w:hint="eastAsia"/>
          <w:b/>
          <w:sz w:val="84"/>
          <w:szCs w:val="84"/>
        </w:rPr>
        <w:t>附件</w:t>
      </w: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p>
      <w:pPr>
        <w:ind w:left="-315"/>
        <w:jc w:val="center"/>
        <w:rPr>
          <w:b/>
          <w:sz w:val="84"/>
          <w:szCs w:val="84"/>
        </w:rPr>
      </w:pPr>
    </w:p>
    <w:tbl>
      <w:tblPr>
        <w:jc w:val="left"/>
        <w:tblInd w:w="91"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436"/>
        <w:gridCol w:w="1300"/>
        <w:gridCol w:w="1341"/>
        <w:gridCol w:w="3088"/>
        <w:gridCol w:w="1300"/>
        <w:gridCol w:w="1300"/>
      </w:tblGrid>
      <w:tr>
        <w:trPr>
          <w:trHeight w:val="439"/>
        </w:trPr>
        <w:tc>
          <w:tcPr>
            <w:tcW w:w="436" w:type="dxa"/>
            <w:tcBorders>
              <w:top w:val="nil"/>
              <w:left w:val="nil"/>
              <w:bottom w:val="nil"/>
              <w:right w:val="nil"/>
            </w:tcBorders>
            <w:shd w:val="clear" w:color="auto" w:fill="auto"/>
            <w:vAlign w:val="center"/>
          </w:tcPr>
          <w:p>
            <w:pPr>
              <w:widowControl/>
              <w:jc w:val="left"/>
              <w:rPr>
                <w:rFonts w:ascii="宋体" w:cs="宋体"/>
                <w:kern w:val="0"/>
                <w:sz w:val="24"/>
              </w:rPr>
            </w:pPr>
          </w:p>
        </w:tc>
        <w:tc>
          <w:tcPr>
            <w:tcW w:w="1300" w:type="dxa"/>
            <w:tcBorders>
              <w:top w:val="nil"/>
              <w:left w:val="nil"/>
              <w:bottom w:val="nil"/>
              <w:right w:val="nil"/>
            </w:tcBorders>
            <w:shd w:val="clear" w:color="auto" w:fill="auto"/>
            <w:vAlign w:val="center"/>
          </w:tcPr>
          <w:p>
            <w:pPr>
              <w:widowControl/>
              <w:jc w:val="left"/>
              <w:rPr>
                <w:rFonts w:ascii="宋体" w:cs="宋体"/>
                <w:kern w:val="0"/>
                <w:sz w:val="24"/>
              </w:rPr>
            </w:pPr>
          </w:p>
        </w:tc>
        <w:tc>
          <w:tcPr>
            <w:tcW w:w="1341" w:type="dxa"/>
            <w:tcBorders>
              <w:top w:val="nil"/>
              <w:left w:val="nil"/>
              <w:bottom w:val="nil"/>
              <w:right w:val="nil"/>
            </w:tcBorders>
            <w:shd w:val="clear" w:color="auto" w:fill="auto"/>
            <w:vAlign w:val="center"/>
          </w:tcPr>
          <w:p>
            <w:pPr>
              <w:widowControl/>
              <w:jc w:val="left"/>
              <w:rPr>
                <w:rFonts w:ascii="宋体" w:cs="宋体"/>
                <w:kern w:val="0"/>
                <w:sz w:val="24"/>
              </w:rPr>
            </w:pPr>
          </w:p>
        </w:tc>
        <w:tc>
          <w:tcPr>
            <w:tcW w:w="3088" w:type="dxa"/>
            <w:tcBorders>
              <w:top w:val="nil"/>
              <w:left w:val="nil"/>
              <w:bottom w:val="nil"/>
              <w:right w:val="nil"/>
            </w:tcBorders>
            <w:shd w:val="clear" w:color="auto" w:fill="auto"/>
            <w:vAlign w:val="center"/>
          </w:tcPr>
          <w:p>
            <w:pPr>
              <w:widowControl/>
              <w:jc w:val="left"/>
              <w:rPr>
                <w:rFonts w:ascii="宋体" w:cs="宋体"/>
                <w:kern w:val="0"/>
                <w:sz w:val="24"/>
              </w:rPr>
            </w:pPr>
          </w:p>
        </w:tc>
        <w:tc>
          <w:tcPr>
            <w:tcW w:w="1300" w:type="dxa"/>
            <w:tcBorders>
              <w:top w:val="nil"/>
              <w:left w:val="nil"/>
              <w:bottom w:val="nil"/>
              <w:right w:val="nil"/>
            </w:tcBorders>
            <w:shd w:val="clear" w:color="auto" w:fill="auto"/>
            <w:vAlign w:val="center"/>
          </w:tcPr>
          <w:p>
            <w:pPr>
              <w:widowControl/>
              <w:jc w:val="left"/>
              <w:rPr>
                <w:rFonts w:ascii="宋体" w:cs="宋体"/>
                <w:kern w:val="0"/>
                <w:sz w:val="24"/>
              </w:rPr>
            </w:pPr>
          </w:p>
        </w:tc>
        <w:tc>
          <w:tcPr>
            <w:tcW w:w="1300" w:type="dxa"/>
            <w:tcBorders>
              <w:top w:val="nil"/>
              <w:left w:val="nil"/>
              <w:bottom w:val="nil"/>
              <w:right w:val="nil"/>
            </w:tcBorders>
            <w:shd w:val="clear" w:color="auto" w:fill="auto"/>
            <w:vAlign w:val="center"/>
          </w:tcPr>
          <w:p>
            <w:pPr>
              <w:widowControl/>
              <w:jc w:val="left"/>
              <w:rPr>
                <w:rFonts w:ascii="宋体" w:cs="宋体"/>
                <w:kern w:val="0"/>
                <w:sz w:val="24"/>
              </w:rPr>
            </w:pPr>
          </w:p>
        </w:tc>
      </w:tr>
    </w:tbl>
    <w:p/>
    <w:tbl>
      <w:tblPr>
        <w:jc w:val="left"/>
        <w:tblW w:w="921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521"/>
        <w:gridCol w:w="67"/>
        <w:gridCol w:w="1189"/>
        <w:gridCol w:w="1816"/>
        <w:gridCol w:w="68"/>
        <w:gridCol w:w="103"/>
        <w:gridCol w:w="1360"/>
        <w:gridCol w:w="228"/>
        <w:gridCol w:w="1303"/>
        <w:gridCol w:w="147"/>
        <w:gridCol w:w="1384"/>
        <w:gridCol w:w="28"/>
      </w:tblGrid>
      <w:tr>
        <w:trPr>
          <w:trHeight w:val="704"/>
        </w:trPr>
        <w:tc>
          <w:tcPr>
            <w:tcW w:w="9214" w:type="dxa"/>
            <w:gridSpan w:val="12"/>
            <w:tcBorders>
              <w:top w:val="nil"/>
              <w:left w:val="nil"/>
              <w:bottom w:val="nil"/>
              <w:right w:val="nil"/>
              <w:tl2br w:val="nil"/>
              <w:tr2bl w:val="nil"/>
            </w:tcBorders>
            <w:noWrap/>
            <w:vAlign w:val="center"/>
          </w:tcPr>
          <w:p>
            <w:pPr>
              <w:jc w:val="center"/>
              <w:rPr>
                <w:rFonts w:ascii="黑体" w:eastAsia="黑体"/>
                <w:sz w:val="32"/>
              </w:rPr>
            </w:pPr>
            <w:r>
              <w:rPr>
                <w:rFonts w:ascii="黑体" w:eastAsia="黑体"/>
                <w:sz w:val="32"/>
              </w:rPr>
              <w:t>海关仪器设备购置及能力保障专项项目绩效目标表</w:t>
            </w:r>
          </w:p>
        </w:tc>
      </w:tr>
      <w:tr>
        <w:trPr>
          <w:trHeight w:val="494"/>
        </w:trPr>
        <w:tc>
          <w:tcPr>
            <w:tcW w:w="9214" w:type="dxa"/>
            <w:gridSpan w:val="12"/>
            <w:tcBorders>
              <w:top w:val="nil"/>
              <w:left w:val="nil"/>
              <w:bottom w:val="nil"/>
              <w:right w:val="nil"/>
              <w:tl2br w:val="nil"/>
              <w:tr2bl w:val="nil"/>
            </w:tcBorders>
            <w:noWrap/>
          </w:tcPr>
          <w:p>
            <w:pPr>
              <w:jc w:val="center"/>
              <w:rPr>
                <w:rFonts w:ascii="宋体"/>
                <w:sz w:val="24"/>
              </w:rPr>
            </w:pPr>
            <w:r>
              <w:rPr>
                <w:rFonts w:ascii="宋体"/>
                <w:sz w:val="24"/>
              </w:rPr>
              <w:t>（2025年度）</w:t>
            </w:r>
          </w:p>
        </w:tc>
      </w:tr>
      <w:tr>
        <w:trPr>
          <w:trHeight w:val="434"/>
        </w:trPr>
        <w:tc>
          <w:tcPr>
            <w:tcW w:w="277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项目名称</w:t>
            </w:r>
          </w:p>
        </w:tc>
        <w:tc>
          <w:tcPr>
            <w:tcW w:w="6437" w:type="dxa"/>
            <w:gridSpan w:val="9"/>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海关仪器设备购置及能力保障专项</w:t>
            </w:r>
          </w:p>
        </w:tc>
      </w:tr>
      <w:tr>
        <w:trPr>
          <w:trHeight w:val="434"/>
        </w:trPr>
        <w:tc>
          <w:tcPr>
            <w:tcW w:w="277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ind w:right="156"/>
              <w:jc w:val="center"/>
              <w:rPr>
                <w:rFonts w:ascii="宋体"/>
                <w:sz w:val="22"/>
              </w:rPr>
            </w:pPr>
            <w:r>
              <w:rPr>
                <w:rFonts w:ascii="宋体"/>
                <w:sz w:val="22"/>
              </w:rPr>
              <w:t>主管部门及代码</w:t>
            </w:r>
          </w:p>
        </w:tc>
        <w:tc>
          <w:tcPr>
            <w:tcW w:w="1987" w:type="dxa"/>
            <w:gridSpan w:val="3"/>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[167]海关总署</w:t>
            </w:r>
          </w:p>
        </w:tc>
        <w:tc>
          <w:tcPr>
            <w:tcW w:w="1588"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2862"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茂名海关综合技术服务中心</w:t>
            </w:r>
          </w:p>
        </w:tc>
      </w:tr>
      <w:tr>
        <w:trPr>
          <w:trHeight w:val="434"/>
        </w:trPr>
        <w:tc>
          <w:tcPr>
            <w:tcW w:w="2777" w:type="dxa"/>
            <w:gridSpan w:val="3"/>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项目资金</w:t>
            </w:r>
          </w:p>
          <w:p>
            <w:pPr>
              <w:jc w:val="center"/>
              <w:rPr>
                <w:rFonts w:ascii="宋体"/>
                <w:sz w:val="22"/>
              </w:rPr>
            </w:pPr>
            <w:r>
              <w:rPr>
                <w:rFonts w:ascii="宋体"/>
                <w:sz w:val="22"/>
              </w:rPr>
              <w:t>（万元）</w:t>
            </w:r>
          </w:p>
        </w:tc>
        <w:tc>
          <w:tcPr>
            <w:tcW w:w="1987" w:type="dxa"/>
            <w:gridSpan w:val="3"/>
            <w:tcBorders>
              <w:top w:val="single" w:sz="6" w:space="0" w:color="auto"/>
              <w:left w:val="single" w:sz="6" w:space="0" w:color="auto"/>
              <w:bottom w:val="single" w:sz="6" w:space="0" w:color="auto"/>
              <w:right w:val="nil"/>
              <w:tl2br w:val="nil"/>
              <w:tr2bl w:val="nil"/>
            </w:tcBorders>
            <w:noWrap/>
            <w:vAlign w:val="center"/>
          </w:tcPr>
          <w:p>
            <w:pPr>
              <w:rPr>
                <w:rFonts w:ascii="宋体"/>
                <w:sz w:val="22"/>
              </w:rPr>
            </w:pPr>
            <w:r>
              <w:rPr>
                <w:rFonts w:ascii="宋体"/>
                <w:sz w:val="22"/>
              </w:rPr>
              <w:t xml:space="preserve"> 年度资金总额：</w:t>
            </w:r>
          </w:p>
        </w:tc>
        <w:tc>
          <w:tcPr>
            <w:tcW w:w="3038"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96.53</w:t>
            </w:r>
          </w:p>
        </w:tc>
        <w:tc>
          <w:tcPr>
            <w:tcW w:w="1412" w:type="dxa"/>
            <w:gridSpan w:val="2"/>
            <w:vMerge w:val="restart"/>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pPr>
              <w:jc w:val="center"/>
              <w:rPr>
                <w:rFonts w:ascii="宋体"/>
                <w:sz w:val="22"/>
              </w:rPr>
            </w:pPr>
            <w:r>
              <w:rPr>
                <w:rFonts w:ascii="宋体"/>
                <w:sz w:val="22"/>
              </w:rPr>
              <w:t>执行率</w:t>
            </w:r>
          </w:p>
          <w:p>
            <w:pPr>
              <w:jc w:val="center"/>
              <w:rPr>
                <w:rFonts w:ascii="宋体"/>
                <w:sz w:val="22"/>
              </w:rPr>
            </w:pPr>
            <w:r>
              <w:rPr>
                <w:rFonts w:ascii="宋体"/>
                <w:sz w:val="22"/>
              </w:rPr>
              <w:t>分值</w:t>
            </w:r>
          </w:p>
          <w:p>
            <w:pPr>
              <w:jc w:val="center"/>
              <w:rPr>
                <w:rFonts w:ascii="宋体"/>
                <w:sz w:val="22"/>
              </w:rPr>
            </w:pPr>
            <w:r>
              <w:rPr>
                <w:rFonts w:ascii="宋体"/>
                <w:sz w:val="22"/>
              </w:rPr>
              <w:t>（10）</w:t>
            </w:r>
          </w:p>
        </w:tc>
      </w:tr>
      <w:tr>
        <w:trPr>
          <w:trHeight w:val="434"/>
        </w:trPr>
        <w:tc>
          <w:tcPr>
            <w:tcW w:w="2777" w:type="dxa"/>
            <w:gridSpan w:val="3"/>
            <w:vMerge/>
            <w:tcBorders>
              <w:top w:val="nil"/>
              <w:left w:val="single" w:sz="6" w:space="0" w:color="auto"/>
              <w:bottom w:val="nil"/>
              <w:right w:val="single" w:sz="6" w:space="0" w:color="auto"/>
              <w:tl2br w:val="nil"/>
              <w:tr2bl w:val="nil"/>
            </w:tcBorders>
            <w:noWrap/>
            <w:vAlign w:val="center"/>
          </w:tcPr>
          <w:p/>
        </w:tc>
        <w:tc>
          <w:tcPr>
            <w:tcW w:w="1987" w:type="dxa"/>
            <w:gridSpan w:val="3"/>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其中：财政拨款</w:t>
            </w:r>
          </w:p>
        </w:tc>
        <w:tc>
          <w:tcPr>
            <w:tcW w:w="3038"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40.05</w:t>
            </w:r>
          </w:p>
        </w:tc>
        <w:tc>
          <w:tcPr>
            <w:tcW w:w="1412" w:type="dxa"/>
            <w:gridSpan w:val="2"/>
            <w:vMerge/>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434"/>
        </w:trPr>
        <w:tc>
          <w:tcPr>
            <w:tcW w:w="2777" w:type="dxa"/>
            <w:gridSpan w:val="3"/>
            <w:vMerge/>
            <w:tcBorders>
              <w:top w:val="nil"/>
              <w:left w:val="single" w:sz="6" w:space="0" w:color="auto"/>
              <w:bottom w:val="nil"/>
              <w:right w:val="single" w:sz="6" w:space="0" w:color="auto"/>
              <w:tl2br w:val="nil"/>
              <w:tr2bl w:val="nil"/>
            </w:tcBorders>
            <w:noWrap/>
            <w:vAlign w:val="center"/>
          </w:tcPr>
          <w:p/>
        </w:tc>
        <w:tc>
          <w:tcPr>
            <w:tcW w:w="1987" w:type="dxa"/>
            <w:gridSpan w:val="3"/>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上年结转</w:t>
            </w:r>
          </w:p>
        </w:tc>
        <w:tc>
          <w:tcPr>
            <w:tcW w:w="3038"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56.48</w:t>
            </w:r>
          </w:p>
        </w:tc>
        <w:tc>
          <w:tcPr>
            <w:tcW w:w="1412" w:type="dxa"/>
            <w:gridSpan w:val="2"/>
            <w:vMerge/>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434"/>
        </w:trPr>
        <w:tc>
          <w:tcPr>
            <w:tcW w:w="2777" w:type="dxa"/>
            <w:gridSpan w:val="3"/>
            <w:vMerge/>
            <w:tcBorders>
              <w:top w:val="nil"/>
              <w:left w:val="single" w:sz="6" w:space="0" w:color="auto"/>
              <w:bottom w:val="single" w:sz="6" w:space="0" w:color="auto"/>
              <w:right w:val="single" w:sz="6" w:space="0" w:color="auto"/>
              <w:tl2br w:val="nil"/>
              <w:tr2bl w:val="nil"/>
            </w:tcBorders>
            <w:noWrap/>
            <w:vAlign w:val="center"/>
          </w:tcPr>
          <w:p/>
        </w:tc>
        <w:tc>
          <w:tcPr>
            <w:tcW w:w="1987" w:type="dxa"/>
            <w:gridSpan w:val="3"/>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其他资金</w:t>
            </w:r>
          </w:p>
        </w:tc>
        <w:tc>
          <w:tcPr>
            <w:tcW w:w="3038"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412" w:type="dxa"/>
            <w:gridSpan w:val="2"/>
            <w:vMerge/>
            <w:tcBorders>
              <w:top w:val="single" w:sz="6" w:space="0" w:color="auto"/>
              <w:left w:val="single" w:sz="6" w:space="0" w:color="auto"/>
              <w:bottom w:val="single" w:sz="6" w:space="0" w:color="auto"/>
              <w:right w:val="single" w:sz="6" w:space="0" w:color="auto"/>
              <w:tl2br w:val="nil"/>
              <w:tr2bl w:val="nil"/>
            </w:tcBorders>
            <w:shd w:val="clear" w:color="auto" w:fill="FFFFFF"/>
            <w:noWrap/>
            <w:vAlign w:val="center"/>
          </w:tcPr>
          <w:p/>
        </w:tc>
      </w:tr>
      <w:tr>
        <w:trPr>
          <w:trHeight w:val="1784"/>
        </w:trPr>
        <w:tc>
          <w:tcPr>
            <w:tcW w:w="1588" w:type="dxa"/>
            <w:gridSpan w:val="2"/>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7626" w:type="dxa"/>
            <w:gridSpan w:val="10"/>
            <w:tcBorders>
              <w:top w:val="single" w:sz="6" w:space="0" w:color="auto"/>
              <w:left w:val="single" w:sz="6" w:space="0" w:color="auto"/>
              <w:bottom w:val="single" w:sz="6" w:space="0" w:color="auto"/>
              <w:right w:val="single" w:sz="6" w:space="0" w:color="auto"/>
              <w:tl2br w:val="nil"/>
              <w:tr2bl w:val="nil"/>
            </w:tcBorders>
            <w:noWrap/>
            <w:vAlign w:val="center"/>
          </w:tcPr>
          <w:p>
            <w:pPr>
              <w:ind w:firstLineChars="200" w:firstLine="440"/>
              <w:rPr>
                <w:rFonts w:ascii="宋体"/>
                <w:sz w:val="22"/>
              </w:rPr>
            </w:pPr>
            <w:r>
              <w:rPr>
                <w:rFonts w:ascii="宋体"/>
                <w:sz w:val="22"/>
              </w:rPr>
              <w:t>1、通过对茂名关区实验室仪器设备的投入，提升海关相关检测能力，解决现有检测能力不适应检测业务需求的问题；</w:t>
            </w:r>
          </w:p>
          <w:p>
            <w:pPr>
              <w:ind w:firstLineChars="200" w:firstLine="440"/>
              <w:rPr>
                <w:rFonts w:ascii="宋体"/>
                <w:sz w:val="22"/>
              </w:rPr>
            </w:pPr>
            <w:r>
              <w:rPr>
                <w:rFonts w:ascii="宋体"/>
                <w:sz w:val="22"/>
              </w:rPr>
              <w:t>2、配备新增检测项目所需的仪器设备，以及更新不能满足现有检测要求的仪器设备，多维度保障海关职能的发挥；</w:t>
            </w:r>
          </w:p>
          <w:p>
            <w:pPr>
              <w:ind w:firstLineChars="200" w:firstLine="440"/>
              <w:rPr>
                <w:rFonts w:ascii="宋体"/>
                <w:sz w:val="22"/>
              </w:rPr>
            </w:pPr>
            <w:r>
              <w:rPr>
                <w:rFonts w:ascii="宋体"/>
                <w:sz w:val="22"/>
              </w:rPr>
              <w:t>3、保障检测设备仪器的正常运作。</w:t>
            </w:r>
          </w:p>
          <w:p>
            <w:pPr>
              <w:rPr>
                <w:rFonts w:ascii="宋体"/>
                <w:sz w:val="22"/>
              </w:rPr>
            </w:pPr>
          </w:p>
        </w:tc>
      </w:tr>
      <w:tr>
        <w:trPr>
          <w:trHeight w:val="599"/>
        </w:trPr>
        <w:tc>
          <w:tcPr>
            <w:tcW w:w="1588"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绩</w:t>
            </w:r>
          </w:p>
          <w:p>
            <w:pPr>
              <w:jc w:val="center"/>
              <w:rPr>
                <w:rFonts w:ascii="宋体"/>
                <w:sz w:val="22"/>
              </w:rPr>
            </w:pPr>
            <w:r>
              <w:rPr>
                <w:rFonts w:ascii="宋体"/>
                <w:sz w:val="22"/>
              </w:rPr>
              <w:t>效</w:t>
            </w:r>
          </w:p>
          <w:p>
            <w:pPr>
              <w:jc w:val="center"/>
              <w:rPr>
                <w:rFonts w:ascii="宋体"/>
                <w:sz w:val="22"/>
              </w:rPr>
            </w:pPr>
            <w:r>
              <w:rPr>
                <w:rFonts w:ascii="宋体"/>
                <w:sz w:val="22"/>
              </w:rPr>
              <w:t>指</w:t>
            </w:r>
          </w:p>
          <w:p>
            <w:pPr>
              <w:jc w:val="center"/>
              <w:rPr>
                <w:rFonts w:ascii="宋体"/>
                <w:sz w:val="22"/>
              </w:rPr>
            </w:pPr>
            <w:r>
              <w:rPr>
                <w:rFonts w:ascii="宋体"/>
                <w:sz w:val="22"/>
              </w:rPr>
              <w:t>标</w:t>
            </w:r>
          </w:p>
        </w:tc>
        <w:tc>
          <w:tcPr>
            <w:tcW w:w="118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98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1588"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三级指标</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4"/>
        </w:trPr>
        <w:tc>
          <w:tcPr>
            <w:tcW w:w="15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189"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产出指标</w:t>
            </w:r>
          </w:p>
        </w:tc>
        <w:tc>
          <w:tcPr>
            <w:tcW w:w="1987" w:type="dxa"/>
            <w:gridSpan w:val="3"/>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1588"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购置海关实验室仪器设备</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≥4（台/套）</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trPr>
        <w:tc>
          <w:tcPr>
            <w:tcW w:w="15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189"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987" w:type="dxa"/>
            <w:gridSpan w:val="3"/>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88"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运维实验室数量（个）</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≥3个</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trPr>
        <w:tc>
          <w:tcPr>
            <w:tcW w:w="15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189"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98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1588"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仪器设备验收完成率</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20</w:t>
            </w:r>
          </w:p>
        </w:tc>
      </w:tr>
      <w:tr>
        <w:trPr>
          <w:trHeight w:val="434"/>
        </w:trPr>
        <w:tc>
          <w:tcPr>
            <w:tcW w:w="15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189"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98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时效指标</w:t>
            </w:r>
          </w:p>
        </w:tc>
        <w:tc>
          <w:tcPr>
            <w:tcW w:w="1588"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仪器设备验收完成及时率</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trPr>
        <w:tc>
          <w:tcPr>
            <w:tcW w:w="1588"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189"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98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1588"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提升海关实验室技术能力</w:t>
            </w:r>
          </w:p>
        </w:tc>
        <w:tc>
          <w:tcPr>
            <w:tcW w:w="1450"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良</w:t>
            </w:r>
          </w:p>
        </w:tc>
        <w:tc>
          <w:tcPr>
            <w:tcW w:w="141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40</w:t>
            </w:r>
          </w:p>
        </w:tc>
      </w:tr>
      <w:tr>
        <w:trPr>
          <w:trHeight w:val="434"/>
        </w:trPr>
        <w:tc>
          <w:tcPr>
            <w:tcW w:w="1588" w:type="dxa"/>
            <w:gridSpan w:val="2"/>
            <w:tcBorders>
              <w:top w:val="nil"/>
              <w:left w:val="nil"/>
              <w:bottom w:val="nil"/>
              <w:right w:val="nil"/>
              <w:tl2br w:val="nil"/>
              <w:tr2bl w:val="nil"/>
            </w:tcBorders>
            <w:noWrap/>
            <w:vAlign w:val="center"/>
          </w:tcPr>
          <w:p>
            <w:pPr>
              <w:rPr>
                <w:rFonts w:ascii="宋体"/>
                <w:sz w:val="24"/>
              </w:rPr>
            </w:pPr>
          </w:p>
        </w:tc>
        <w:tc>
          <w:tcPr>
            <w:tcW w:w="1189" w:type="dxa"/>
            <w:tcBorders>
              <w:top w:val="nil"/>
              <w:left w:val="nil"/>
              <w:bottom w:val="nil"/>
              <w:right w:val="nil"/>
              <w:tl2br w:val="nil"/>
              <w:tr2bl w:val="nil"/>
            </w:tcBorders>
            <w:noWrap/>
            <w:vAlign w:val="center"/>
          </w:tcPr>
          <w:p>
            <w:pPr>
              <w:rPr>
                <w:rFonts w:ascii="宋体"/>
                <w:sz w:val="24"/>
              </w:rPr>
            </w:pPr>
          </w:p>
        </w:tc>
        <w:tc>
          <w:tcPr>
            <w:tcW w:w="1987" w:type="dxa"/>
            <w:gridSpan w:val="3"/>
            <w:tcBorders>
              <w:top w:val="nil"/>
              <w:left w:val="nil"/>
              <w:bottom w:val="nil"/>
              <w:right w:val="nil"/>
              <w:tl2br w:val="nil"/>
              <w:tr2bl w:val="nil"/>
            </w:tcBorders>
            <w:noWrap/>
            <w:vAlign w:val="center"/>
          </w:tcPr>
          <w:p>
            <w:pPr>
              <w:rPr>
                <w:rFonts w:ascii="宋体"/>
                <w:sz w:val="24"/>
              </w:rPr>
            </w:pPr>
          </w:p>
        </w:tc>
        <w:tc>
          <w:tcPr>
            <w:tcW w:w="1588" w:type="dxa"/>
            <w:gridSpan w:val="2"/>
            <w:tcBorders>
              <w:top w:val="nil"/>
              <w:left w:val="nil"/>
              <w:bottom w:val="nil"/>
              <w:right w:val="nil"/>
              <w:tl2br w:val="nil"/>
              <w:tr2bl w:val="nil"/>
            </w:tcBorders>
            <w:noWrap/>
            <w:vAlign w:val="center"/>
          </w:tcPr>
          <w:p>
            <w:pPr>
              <w:rPr>
                <w:sz w:val="24"/>
              </w:rPr>
            </w:pPr>
          </w:p>
        </w:tc>
        <w:tc>
          <w:tcPr>
            <w:tcW w:w="1450" w:type="dxa"/>
            <w:gridSpan w:val="2"/>
            <w:tcBorders>
              <w:top w:val="nil"/>
              <w:left w:val="nil"/>
              <w:bottom w:val="nil"/>
              <w:right w:val="nil"/>
              <w:tl2br w:val="nil"/>
              <w:tr2bl w:val="nil"/>
            </w:tcBorders>
            <w:noWrap/>
            <w:vAlign w:val="center"/>
          </w:tcPr>
          <w:p>
            <w:pPr>
              <w:rPr>
                <w:rFonts w:ascii="宋体"/>
                <w:sz w:val="24"/>
              </w:rPr>
            </w:pPr>
          </w:p>
        </w:tc>
        <w:tc>
          <w:tcPr>
            <w:tcW w:w="1412" w:type="dxa"/>
            <w:gridSpan w:val="2"/>
            <w:tcBorders>
              <w:top w:val="nil"/>
              <w:left w:val="nil"/>
              <w:bottom w:val="nil"/>
              <w:right w:val="nil"/>
              <w:tl2br w:val="nil"/>
              <w:tr2bl w:val="nil"/>
            </w:tcBorders>
            <w:noWrap/>
            <w:vAlign w:val="center"/>
          </w:tcPr>
          <w:p>
            <w:pPr>
              <w:rPr>
                <w:rFonts w:ascii="宋体"/>
                <w:sz w:val="24"/>
              </w:rPr>
            </w:pPr>
          </w:p>
        </w:tc>
      </w:tr>
      <w:tr>
        <w:trPr>
          <w:trHeight w:val="433"/>
        </w:trPr>
        <w:tc>
          <w:tcPr>
            <w:tcW w:w="1588" w:type="dxa"/>
            <w:gridSpan w:val="2"/>
            <w:tcBorders>
              <w:top w:val="nil"/>
              <w:left w:val="nil"/>
              <w:bottom w:val="nil"/>
              <w:right w:val="nil"/>
              <w:tl2br w:val="nil"/>
              <w:tr2bl w:val="nil"/>
            </w:tcBorders>
            <w:noWrap/>
            <w:vAlign w:val="center"/>
          </w:tcPr>
          <w:p>
            <w:pPr>
              <w:rPr>
                <w:rFonts w:ascii="宋体"/>
                <w:sz w:val="24"/>
              </w:rPr>
            </w:pPr>
          </w:p>
          <w:p>
            <w:pPr>
              <w:rPr>
                <w:rFonts w:ascii="宋体"/>
                <w:sz w:val="24"/>
              </w:rPr>
            </w:pPr>
          </w:p>
          <w:p>
            <w:pPr>
              <w:rPr>
                <w:rFonts w:ascii="宋体"/>
                <w:sz w:val="24"/>
              </w:rPr>
            </w:pPr>
          </w:p>
          <w:p>
            <w:pPr>
              <w:rPr>
                <w:rFonts w:ascii="宋体"/>
                <w:sz w:val="24"/>
              </w:rPr>
            </w:pPr>
          </w:p>
          <w:p>
            <w:pPr>
              <w:rPr>
                <w:rFonts w:ascii="宋体"/>
                <w:sz w:val="24"/>
              </w:rPr>
            </w:pPr>
          </w:p>
          <w:p>
            <w:pPr>
              <w:rPr>
                <w:rFonts w:ascii="宋体"/>
                <w:sz w:val="24"/>
              </w:rPr>
            </w:pPr>
          </w:p>
          <w:p>
            <w:pPr>
              <w:rPr>
                <w:rFonts w:ascii="宋体"/>
                <w:sz w:val="24"/>
              </w:rPr>
            </w:pPr>
          </w:p>
          <w:p>
            <w:pPr>
              <w:rPr>
                <w:rFonts w:ascii="宋体"/>
                <w:sz w:val="24"/>
              </w:rPr>
            </w:pPr>
          </w:p>
          <w:p>
            <w:pPr>
              <w:rPr>
                <w:rFonts w:ascii="宋体"/>
                <w:sz w:val="24"/>
              </w:rPr>
            </w:pPr>
          </w:p>
          <w:p>
            <w:pPr>
              <w:tabs>
                <w:tab w:val="left" w:pos="1410"/>
              </w:tabs>
              <w:ind w:right="-156"/>
              <w:rPr>
                <w:rFonts w:ascii="宋体"/>
                <w:sz w:val="24"/>
              </w:rPr>
            </w:pPr>
          </w:p>
        </w:tc>
        <w:tc>
          <w:tcPr>
            <w:tcW w:w="1189" w:type="dxa"/>
            <w:tcBorders>
              <w:top w:val="nil"/>
              <w:left w:val="nil"/>
              <w:bottom w:val="nil"/>
              <w:right w:val="nil"/>
              <w:tl2br w:val="nil"/>
              <w:tr2bl w:val="nil"/>
            </w:tcBorders>
            <w:noWrap/>
            <w:vAlign w:val="center"/>
          </w:tcPr>
          <w:p>
            <w:pPr>
              <w:rPr>
                <w:rFonts w:ascii="宋体"/>
                <w:sz w:val="24"/>
              </w:rPr>
            </w:pPr>
          </w:p>
        </w:tc>
        <w:tc>
          <w:tcPr>
            <w:tcW w:w="1987" w:type="dxa"/>
            <w:gridSpan w:val="3"/>
            <w:tcBorders>
              <w:top w:val="nil"/>
              <w:left w:val="nil"/>
              <w:bottom w:val="nil"/>
              <w:right w:val="nil"/>
              <w:tl2br w:val="nil"/>
              <w:tr2bl w:val="nil"/>
            </w:tcBorders>
            <w:noWrap/>
            <w:vAlign w:val="center"/>
          </w:tcPr>
          <w:p>
            <w:pPr>
              <w:rPr>
                <w:rFonts w:ascii="宋体"/>
                <w:sz w:val="24"/>
              </w:rPr>
            </w:pPr>
          </w:p>
        </w:tc>
        <w:tc>
          <w:tcPr>
            <w:tcW w:w="1588" w:type="dxa"/>
            <w:gridSpan w:val="2"/>
            <w:tcBorders>
              <w:top w:val="nil"/>
              <w:left w:val="nil"/>
              <w:bottom w:val="nil"/>
              <w:right w:val="nil"/>
              <w:tl2br w:val="nil"/>
              <w:tr2bl w:val="nil"/>
            </w:tcBorders>
            <w:noWrap/>
            <w:vAlign w:val="center"/>
          </w:tcPr>
          <w:p>
            <w:pPr>
              <w:rPr>
                <w:sz w:val="24"/>
              </w:rPr>
            </w:pPr>
          </w:p>
        </w:tc>
        <w:tc>
          <w:tcPr>
            <w:tcW w:w="1450" w:type="dxa"/>
            <w:gridSpan w:val="2"/>
            <w:tcBorders>
              <w:top w:val="nil"/>
              <w:left w:val="nil"/>
              <w:bottom w:val="nil"/>
              <w:right w:val="nil"/>
              <w:tl2br w:val="nil"/>
              <w:tr2bl w:val="nil"/>
            </w:tcBorders>
            <w:noWrap/>
            <w:vAlign w:val="center"/>
          </w:tcPr>
          <w:p>
            <w:pPr>
              <w:rPr>
                <w:rFonts w:ascii="宋体"/>
                <w:sz w:val="24"/>
              </w:rPr>
            </w:pPr>
          </w:p>
        </w:tc>
        <w:tc>
          <w:tcPr>
            <w:tcW w:w="1412" w:type="dxa"/>
            <w:gridSpan w:val="2"/>
            <w:tcBorders>
              <w:top w:val="nil"/>
              <w:left w:val="nil"/>
              <w:bottom w:val="nil"/>
              <w:right w:val="nil"/>
              <w:tl2br w:val="nil"/>
              <w:tr2bl w:val="nil"/>
            </w:tcBorders>
            <w:noWrap/>
            <w:vAlign w:val="center"/>
          </w:tcPr>
          <w:p>
            <w:pPr>
              <w:rPr>
                <w:rFonts w:ascii="宋体"/>
                <w:sz w:val="24"/>
              </w:rPr>
            </w:pPr>
          </w:p>
        </w:tc>
      </w:tr>
      <w:tr>
        <w:trPr>
          <w:trHeight w:val="704"/>
          <w:gridAfter w:val="1"/>
          <w:wAfter w:w="28" w:type="dxa"/>
        </w:trPr>
        <w:tc>
          <w:tcPr>
            <w:tcW w:w="9186" w:type="dxa"/>
            <w:gridSpan w:val="11"/>
            <w:tcBorders>
              <w:top w:val="nil"/>
              <w:left w:val="nil"/>
              <w:bottom w:val="nil"/>
              <w:right w:val="nil"/>
              <w:tl2br w:val="nil"/>
              <w:tr2bl w:val="nil"/>
            </w:tcBorders>
            <w:noWrap/>
            <w:vAlign w:val="center"/>
          </w:tcPr>
          <w:p>
            <w:pPr>
              <w:jc w:val="center"/>
              <w:rPr>
                <w:rFonts w:ascii="黑体" w:eastAsia="黑体"/>
                <w:sz w:val="32"/>
              </w:rPr>
            </w:pPr>
            <w:r>
              <w:rPr>
                <w:rFonts w:ascii="黑体" w:eastAsia="黑体"/>
                <w:sz w:val="32"/>
              </w:rPr>
              <w:t>海关法检业务工作专项项目绩效目标表</w:t>
            </w:r>
          </w:p>
        </w:tc>
      </w:tr>
      <w:tr>
        <w:trPr>
          <w:trHeight w:val="494"/>
          <w:gridAfter w:val="1"/>
          <w:wAfter w:w="28" w:type="dxa"/>
        </w:trPr>
        <w:tc>
          <w:tcPr>
            <w:tcW w:w="9186" w:type="dxa"/>
            <w:gridSpan w:val="11"/>
            <w:tcBorders>
              <w:top w:val="nil"/>
              <w:left w:val="nil"/>
              <w:bottom w:val="nil"/>
              <w:right w:val="nil"/>
              <w:tl2br w:val="nil"/>
              <w:tr2bl w:val="nil"/>
            </w:tcBorders>
            <w:noWrap/>
          </w:tcPr>
          <w:p>
            <w:pPr>
              <w:jc w:val="center"/>
              <w:rPr>
                <w:rFonts w:ascii="宋体"/>
                <w:sz w:val="24"/>
              </w:rPr>
            </w:pPr>
            <w:r>
              <w:rPr>
                <w:rFonts w:ascii="宋体"/>
                <w:sz w:val="24"/>
              </w:rPr>
              <w:t>（2025年度）</w:t>
            </w:r>
          </w:p>
        </w:tc>
      </w:tr>
      <w:tr>
        <w:trPr>
          <w:trHeight w:val="434"/>
          <w:gridAfter w:val="1"/>
          <w:wAfter w:w="28" w:type="dxa"/>
        </w:trPr>
        <w:tc>
          <w:tcPr>
            <w:tcW w:w="277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项目名称</w:t>
            </w:r>
          </w:p>
        </w:tc>
        <w:tc>
          <w:tcPr>
            <w:tcW w:w="6409" w:type="dxa"/>
            <w:gridSpan w:val="8"/>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海关法检业务工作专项</w:t>
            </w:r>
          </w:p>
        </w:tc>
      </w:tr>
      <w:tr>
        <w:trPr>
          <w:trHeight w:val="434"/>
          <w:gridAfter w:val="1"/>
          <w:wAfter w:w="28" w:type="dxa"/>
        </w:trPr>
        <w:tc>
          <w:tcPr>
            <w:tcW w:w="2777" w:type="dxa"/>
            <w:gridSpan w:val="3"/>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主管部门及代码</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[167]海关总署</w:t>
            </w:r>
          </w:p>
        </w:tc>
        <w:tc>
          <w:tcPr>
            <w:tcW w:w="1463"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062"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茂名海关综合技术服务中心</w:t>
            </w:r>
          </w:p>
        </w:tc>
      </w:tr>
      <w:tr>
        <w:trPr>
          <w:trHeight w:val="434"/>
          <w:gridAfter w:val="1"/>
          <w:wAfter w:w="28" w:type="dxa"/>
        </w:trPr>
        <w:tc>
          <w:tcPr>
            <w:tcW w:w="2777" w:type="dxa"/>
            <w:gridSpan w:val="3"/>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项目资金</w:t>
            </w:r>
          </w:p>
          <w:p>
            <w:pPr>
              <w:jc w:val="center"/>
              <w:rPr>
                <w:rFonts w:ascii="宋体"/>
                <w:sz w:val="22"/>
              </w:rPr>
            </w:pPr>
            <w:r>
              <w:rPr>
                <w:rFonts w:ascii="宋体"/>
                <w:sz w:val="22"/>
              </w:rPr>
              <w:t>（万元）</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sz w:val="22"/>
              </w:rPr>
            </w:pPr>
            <w:r>
              <w:rPr>
                <w:rFonts w:ascii="宋体"/>
                <w:sz w:val="22"/>
              </w:rPr>
              <w:t xml:space="preserve"> 年度资金总额：</w:t>
            </w:r>
          </w:p>
        </w:tc>
        <w:tc>
          <w:tcPr>
            <w:tcW w:w="2994"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126.00</w:t>
            </w:r>
          </w:p>
        </w:tc>
        <w:tc>
          <w:tcPr>
            <w:tcW w:w="1531" w:type="dxa"/>
            <w:gridSpan w:val="2"/>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sz w:val="22"/>
              </w:rPr>
            </w:pPr>
            <w:r>
              <w:rPr>
                <w:rFonts w:ascii="宋体"/>
                <w:sz w:val="22"/>
              </w:rPr>
              <w:t>执行率</w:t>
            </w:r>
          </w:p>
          <w:p>
            <w:pPr>
              <w:jc w:val="center"/>
              <w:rPr>
                <w:rFonts w:ascii="宋体"/>
                <w:sz w:val="22"/>
              </w:rPr>
            </w:pPr>
            <w:r>
              <w:rPr>
                <w:rFonts w:ascii="宋体"/>
                <w:sz w:val="22"/>
              </w:rPr>
              <w:t>分值</w:t>
            </w:r>
          </w:p>
          <w:p>
            <w:pPr>
              <w:jc w:val="center"/>
              <w:rPr>
                <w:rFonts w:ascii="宋体"/>
                <w:sz w:val="22"/>
              </w:rPr>
            </w:pPr>
            <w:r>
              <w:rPr>
                <w:rFonts w:ascii="宋体"/>
                <w:sz w:val="22"/>
              </w:rPr>
              <w:t>（10）</w:t>
            </w:r>
          </w:p>
        </w:tc>
      </w:tr>
      <w:tr>
        <w:trPr>
          <w:trHeight w:val="434"/>
          <w:gridAfter w:val="1"/>
          <w:wAfter w:w="28" w:type="dxa"/>
        </w:trPr>
        <w:tc>
          <w:tcPr>
            <w:tcW w:w="2777" w:type="dxa"/>
            <w:gridSpan w:val="3"/>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其中：财政拨款</w:t>
            </w:r>
          </w:p>
        </w:tc>
        <w:tc>
          <w:tcPr>
            <w:tcW w:w="2994"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126.00</w:t>
            </w:r>
          </w:p>
        </w:tc>
        <w:tc>
          <w:tcPr>
            <w:tcW w:w="1531" w:type="dxa"/>
            <w:gridSpan w:val="2"/>
            <w:vMerge/>
            <w:tcBorders>
              <w:top w:val="nil"/>
              <w:left w:val="single" w:sz="6" w:space="0" w:color="auto"/>
              <w:bottom w:val="nil"/>
              <w:right w:val="single" w:sz="6" w:space="0" w:color="auto"/>
              <w:tl2br w:val="nil"/>
              <w:tr2bl w:val="nil"/>
            </w:tcBorders>
            <w:noWrap/>
            <w:vAlign w:val="center"/>
          </w:tcPr>
          <w:p/>
        </w:tc>
      </w:tr>
      <w:tr>
        <w:trPr>
          <w:trHeight w:val="434"/>
          <w:gridAfter w:val="1"/>
          <w:wAfter w:w="28" w:type="dxa"/>
        </w:trPr>
        <w:tc>
          <w:tcPr>
            <w:tcW w:w="2777" w:type="dxa"/>
            <w:gridSpan w:val="3"/>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上年结转</w:t>
            </w:r>
          </w:p>
        </w:tc>
        <w:tc>
          <w:tcPr>
            <w:tcW w:w="2994"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gridSpan w:val="2"/>
            <w:vMerge/>
            <w:tcBorders>
              <w:top w:val="nil"/>
              <w:left w:val="single" w:sz="6" w:space="0" w:color="auto"/>
              <w:bottom w:val="nil"/>
              <w:right w:val="single" w:sz="6" w:space="0" w:color="auto"/>
              <w:tl2br w:val="nil"/>
              <w:tr2bl w:val="nil"/>
            </w:tcBorders>
            <w:noWrap/>
            <w:vAlign w:val="center"/>
          </w:tcPr>
          <w:p/>
        </w:tc>
      </w:tr>
      <w:tr>
        <w:trPr>
          <w:trHeight w:val="434"/>
          <w:gridAfter w:val="1"/>
          <w:wAfter w:w="28" w:type="dxa"/>
        </w:trPr>
        <w:tc>
          <w:tcPr>
            <w:tcW w:w="2777" w:type="dxa"/>
            <w:gridSpan w:val="3"/>
            <w:vMerge/>
            <w:tcBorders>
              <w:top w:val="nil"/>
              <w:left w:val="single" w:sz="6" w:space="0" w:color="auto"/>
              <w:bottom w:val="single" w:sz="6" w:space="0" w:color="auto"/>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其他资金</w:t>
            </w:r>
          </w:p>
        </w:tc>
        <w:tc>
          <w:tcPr>
            <w:tcW w:w="2994" w:type="dxa"/>
            <w:gridSpan w:val="4"/>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gridSpan w:val="2"/>
            <w:vMerge/>
            <w:tcBorders>
              <w:top w:val="nil"/>
              <w:left w:val="single" w:sz="6" w:space="0" w:color="auto"/>
              <w:bottom w:val="single" w:sz="6" w:space="0" w:color="auto"/>
              <w:right w:val="single" w:sz="6" w:space="0" w:color="auto"/>
              <w:tl2br w:val="nil"/>
              <w:tr2bl w:val="nil"/>
            </w:tcBorders>
            <w:noWrap/>
            <w:vAlign w:val="center"/>
          </w:tcPr>
          <w:p/>
        </w:tc>
      </w:tr>
      <w:tr>
        <w:trPr>
          <w:trHeight w:val="1784"/>
          <w:gridAfter w:val="1"/>
          <w:wAfter w:w="28" w:type="dxa"/>
        </w:trPr>
        <w:tc>
          <w:tcPr>
            <w:tcW w:w="152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7665" w:type="dxa"/>
            <w:gridSpan w:val="10"/>
            <w:tcBorders>
              <w:top w:val="single" w:sz="6" w:space="0" w:color="auto"/>
              <w:left w:val="single" w:sz="6" w:space="0" w:color="auto"/>
              <w:bottom w:val="single" w:sz="6" w:space="0" w:color="auto"/>
              <w:right w:val="single" w:sz="6" w:space="0" w:color="auto"/>
              <w:tl2br w:val="nil"/>
              <w:tr2bl w:val="nil"/>
            </w:tcBorders>
            <w:noWrap/>
            <w:vAlign w:val="center"/>
          </w:tcPr>
          <w:p>
            <w:pPr>
              <w:ind w:firstLineChars="200" w:firstLine="440"/>
              <w:rPr>
                <w:rFonts w:ascii="宋体"/>
                <w:sz w:val="22"/>
              </w:rPr>
            </w:pPr>
            <w:r>
              <w:rPr>
                <w:rFonts w:ascii="宋体"/>
                <w:sz w:val="22"/>
              </w:rPr>
              <w:t>1.通过开展动植物、卫生、食品和商品等法检工作，持续加强检验检疫监管能力，筑牢国门生物安全屏障，提升口岸疫病防控能力。</w:t>
            </w:r>
          </w:p>
          <w:p>
            <w:pPr>
              <w:ind w:firstLineChars="200" w:firstLine="440"/>
              <w:rPr>
                <w:rFonts w:ascii="宋体"/>
                <w:sz w:val="22"/>
              </w:rPr>
            </w:pPr>
            <w:r>
              <w:rPr>
                <w:rFonts w:ascii="宋体"/>
                <w:sz w:val="22"/>
              </w:rPr>
              <w:t>2.通过对海关法检实验室进行运维，保障实验室的检验检疫业务正常开展，促进实验室持续高质量运转。</w:t>
            </w:r>
          </w:p>
          <w:p>
            <w:pPr>
              <w:rPr>
                <w:rFonts w:ascii="宋体"/>
                <w:sz w:val="22"/>
              </w:rPr>
            </w:pPr>
          </w:p>
        </w:tc>
      </w:tr>
      <w:tr>
        <w:trPr>
          <w:trHeight w:val="599"/>
          <w:gridAfter w:val="1"/>
          <w:wAfter w:w="28" w:type="dxa"/>
        </w:trPr>
        <w:tc>
          <w:tcPr>
            <w:tcW w:w="152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绩</w:t>
            </w:r>
          </w:p>
          <w:p>
            <w:pPr>
              <w:jc w:val="center"/>
              <w:rPr>
                <w:rFonts w:ascii="宋体"/>
                <w:sz w:val="22"/>
              </w:rPr>
            </w:pPr>
            <w:r>
              <w:rPr>
                <w:rFonts w:ascii="宋体"/>
                <w:sz w:val="22"/>
              </w:rPr>
              <w:t>效</w:t>
            </w:r>
          </w:p>
          <w:p>
            <w:pPr>
              <w:jc w:val="center"/>
              <w:rPr>
                <w:rFonts w:ascii="宋体"/>
                <w:sz w:val="22"/>
              </w:rPr>
            </w:pPr>
            <w:r>
              <w:rPr>
                <w:rFonts w:ascii="宋体"/>
                <w:sz w:val="22"/>
              </w:rPr>
              <w:t>指</w:t>
            </w:r>
          </w:p>
          <w:p>
            <w:pPr>
              <w:jc w:val="center"/>
              <w:rPr>
                <w:rFonts w:ascii="宋体"/>
                <w:sz w:val="22"/>
              </w:rPr>
            </w:pPr>
            <w:r>
              <w:rPr>
                <w:rFonts w:ascii="宋体"/>
                <w:sz w:val="22"/>
              </w:rPr>
              <w:t>标</w:t>
            </w:r>
          </w:p>
        </w:tc>
        <w:tc>
          <w:tcPr>
            <w:tcW w:w="12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1531" w:type="dxa"/>
            <w:gridSpan w:val="3"/>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三级指标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产出指标</w:t>
            </w:r>
          </w:p>
        </w:tc>
        <w:tc>
          <w:tcPr>
            <w:tcW w:w="18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试剂耗材购置数量（批次）</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≥10批次</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5</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开展法检业务数量（批次）</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≥1700批次</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5</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实验室资质审核通过率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试剂耗材验收合格率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≥98%</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法检检测准确率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≥95%</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时效指标</w:t>
            </w: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法检检测结果出具及时率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gridAfter w:val="1"/>
          <w:wAfter w:w="28" w:type="dxa"/>
        </w:trPr>
        <w:tc>
          <w:tcPr>
            <w:tcW w:w="1521" w:type="dxa"/>
            <w:vMerge/>
            <w:tcBorders>
              <w:top w:val="nil"/>
              <w:left w:val="single" w:sz="6" w:space="0" w:color="auto"/>
              <w:bottom w:val="single" w:sz="6" w:space="0" w:color="auto"/>
              <w:right w:val="single" w:sz="6" w:space="0" w:color="auto"/>
              <w:tl2br w:val="nil"/>
              <w:tr2bl w:val="nil"/>
            </w:tcBorders>
            <w:noWrap/>
            <w:vAlign w:val="center"/>
          </w:tcPr>
          <w:p/>
        </w:tc>
        <w:tc>
          <w:tcPr>
            <w:tcW w:w="1256"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1531" w:type="dxa"/>
            <w:gridSpan w:val="3"/>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法检自检率</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40</w:t>
            </w:r>
          </w:p>
        </w:tc>
      </w:tr>
    </w:tbl>
    <w:p>
      <w:pPr>
        <w:rPr>
          <w:b/>
          <w:sz w:val="84"/>
          <w:szCs w:val="84"/>
        </w:rPr>
      </w:pPr>
    </w:p>
    <w:tbl>
      <w:tblPr>
        <w:jc w:val="left"/>
        <w:tblW w:w="918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531"/>
        <w:gridCol w:w="1246"/>
        <w:gridCol w:w="1816"/>
        <w:gridCol w:w="68"/>
        <w:gridCol w:w="1463"/>
        <w:gridCol w:w="1531"/>
        <w:gridCol w:w="1531"/>
      </w:tblGrid>
      <w:tr>
        <w:trPr>
          <w:trHeight w:val="704"/>
        </w:trPr>
        <w:tc>
          <w:tcPr>
            <w:tcW w:w="9186" w:type="dxa"/>
            <w:gridSpan w:val="7"/>
            <w:tcBorders>
              <w:top w:val="nil"/>
              <w:left w:val="nil"/>
              <w:bottom w:val="nil"/>
              <w:right w:val="nil"/>
              <w:tl2br w:val="nil"/>
              <w:tr2bl w:val="nil"/>
            </w:tcBorders>
            <w:noWrap/>
            <w:vAlign w:val="center"/>
          </w:tcPr>
          <w:p>
            <w:pPr>
              <w:jc w:val="center"/>
              <w:rPr>
                <w:rFonts w:ascii="黑体" w:eastAsia="黑体"/>
                <w:sz w:val="32"/>
              </w:rPr>
            </w:pPr>
          </w:p>
          <w:p>
            <w:pPr>
              <w:jc w:val="center"/>
              <w:rPr>
                <w:rFonts w:ascii="黑体" w:eastAsia="黑体"/>
                <w:sz w:val="32"/>
              </w:rPr>
            </w:pPr>
          </w:p>
          <w:p>
            <w:pPr>
              <w:jc w:val="center"/>
              <w:rPr>
                <w:rFonts w:ascii="黑体" w:eastAsia="黑体"/>
                <w:sz w:val="32"/>
              </w:rPr>
            </w:pPr>
            <w:r>
              <w:rPr>
                <w:rFonts w:ascii="黑体" w:eastAsia="黑体"/>
                <w:sz w:val="32"/>
              </w:rPr>
              <w:t>口岸检疫查验能力提升项目项目绩效目标表</w:t>
            </w:r>
          </w:p>
        </w:tc>
      </w:tr>
      <w:tr>
        <w:trPr>
          <w:trHeight w:val="494"/>
        </w:trPr>
        <w:tc>
          <w:tcPr>
            <w:tcW w:w="9186" w:type="dxa"/>
            <w:gridSpan w:val="7"/>
            <w:tcBorders>
              <w:top w:val="nil"/>
              <w:left w:val="nil"/>
              <w:bottom w:val="nil"/>
              <w:right w:val="nil"/>
              <w:tl2br w:val="nil"/>
              <w:tr2bl w:val="nil"/>
            </w:tcBorders>
            <w:noWrap/>
          </w:tcPr>
          <w:p>
            <w:pPr>
              <w:jc w:val="center"/>
              <w:rPr>
                <w:rFonts w:ascii="宋体"/>
                <w:sz w:val="24"/>
              </w:rPr>
            </w:pPr>
            <w:r>
              <w:rPr>
                <w:rFonts w:ascii="宋体"/>
                <w:sz w:val="24"/>
              </w:rPr>
              <w:t>（2025年度）</w:t>
            </w:r>
          </w:p>
        </w:tc>
      </w:tr>
      <w:tr>
        <w:trPr>
          <w:trHeight w:val="434"/>
        </w:trPr>
        <w:tc>
          <w:tcPr>
            <w:tcW w:w="277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项目名称</w:t>
            </w:r>
          </w:p>
        </w:tc>
        <w:tc>
          <w:tcPr>
            <w:tcW w:w="6409"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口岸检疫查验能力提升项目</w:t>
            </w:r>
          </w:p>
        </w:tc>
      </w:tr>
      <w:tr>
        <w:trPr>
          <w:trHeight w:val="434"/>
        </w:trPr>
        <w:tc>
          <w:tcPr>
            <w:tcW w:w="277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主管部门及代码</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[167]海关总署</w:t>
            </w:r>
          </w:p>
        </w:tc>
        <w:tc>
          <w:tcPr>
            <w:tcW w:w="14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06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茂名海关综合技术服务中心</w:t>
            </w:r>
          </w:p>
        </w:tc>
      </w:tr>
      <w:tr>
        <w:trPr>
          <w:trHeight w:val="434"/>
        </w:trPr>
        <w:tc>
          <w:tcPr>
            <w:tcW w:w="277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项目资金</w:t>
            </w:r>
          </w:p>
          <w:p>
            <w:pPr>
              <w:jc w:val="center"/>
              <w:rPr>
                <w:rFonts w:ascii="宋体"/>
                <w:sz w:val="22"/>
              </w:rPr>
            </w:pPr>
            <w:r>
              <w:rPr>
                <w:rFonts w:ascii="宋体"/>
                <w:sz w:val="22"/>
              </w:rPr>
              <w:t>（万元）</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sz w:val="22"/>
              </w:rPr>
            </w:pPr>
            <w:r>
              <w:rPr>
                <w:rFonts w:ascii="宋体"/>
                <w:sz w:val="22"/>
              </w:rPr>
              <w:t xml:space="preserve"> 年度资金总额：</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130.00</w:t>
            </w:r>
          </w:p>
        </w:tc>
        <w:tc>
          <w:tcPr>
            <w:tcW w:w="1531"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sz w:val="22"/>
              </w:rPr>
            </w:pPr>
            <w:r>
              <w:rPr>
                <w:rFonts w:ascii="宋体"/>
                <w:sz w:val="22"/>
              </w:rPr>
              <w:t>执行率</w:t>
            </w:r>
          </w:p>
          <w:p>
            <w:pPr>
              <w:jc w:val="center"/>
              <w:rPr>
                <w:rFonts w:ascii="宋体"/>
                <w:sz w:val="22"/>
              </w:rPr>
            </w:pPr>
            <w:r>
              <w:rPr>
                <w:rFonts w:ascii="宋体"/>
                <w:sz w:val="22"/>
              </w:rPr>
              <w:t>分值</w:t>
            </w:r>
          </w:p>
          <w:p>
            <w:pPr>
              <w:jc w:val="center"/>
              <w:rPr>
                <w:rFonts w:ascii="宋体"/>
                <w:sz w:val="22"/>
              </w:rPr>
            </w:pPr>
            <w:r>
              <w:rPr>
                <w:rFonts w:ascii="宋体"/>
                <w:sz w:val="22"/>
              </w:rPr>
              <w:t>（10）</w:t>
            </w:r>
          </w:p>
        </w:tc>
      </w:tr>
      <w:tr>
        <w:trPr>
          <w:trHeight w:val="434"/>
        </w:trPr>
        <w:tc>
          <w:tcPr>
            <w:tcW w:w="2777" w:type="dxa"/>
            <w:gridSpan w:val="2"/>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其中：财政拨款</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vMerge/>
            <w:tcBorders>
              <w:top w:val="nil"/>
              <w:left w:val="single" w:sz="6" w:space="0" w:color="auto"/>
              <w:bottom w:val="nil"/>
              <w:right w:val="single" w:sz="6" w:space="0" w:color="auto"/>
              <w:tl2br w:val="nil"/>
              <w:tr2bl w:val="nil"/>
            </w:tcBorders>
            <w:noWrap/>
            <w:vAlign w:val="center"/>
          </w:tcPr>
          <w:p/>
        </w:tc>
      </w:tr>
      <w:tr>
        <w:trPr>
          <w:trHeight w:val="434"/>
        </w:trPr>
        <w:tc>
          <w:tcPr>
            <w:tcW w:w="2777" w:type="dxa"/>
            <w:gridSpan w:val="2"/>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上年结转</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130.00</w:t>
            </w:r>
          </w:p>
        </w:tc>
        <w:tc>
          <w:tcPr>
            <w:tcW w:w="1531" w:type="dxa"/>
            <w:vMerge/>
            <w:tcBorders>
              <w:top w:val="nil"/>
              <w:left w:val="single" w:sz="6" w:space="0" w:color="auto"/>
              <w:bottom w:val="nil"/>
              <w:right w:val="single" w:sz="6" w:space="0" w:color="auto"/>
              <w:tl2br w:val="nil"/>
              <w:tr2bl w:val="nil"/>
            </w:tcBorders>
            <w:noWrap/>
            <w:vAlign w:val="center"/>
          </w:tcPr>
          <w:p/>
        </w:tc>
      </w:tr>
      <w:tr>
        <w:trPr>
          <w:trHeight w:val="434"/>
        </w:trPr>
        <w:tc>
          <w:tcPr>
            <w:tcW w:w="277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其他资金</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153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765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ind w:firstLineChars="200" w:firstLine="440"/>
              <w:rPr>
                <w:rFonts w:ascii="宋体"/>
                <w:sz w:val="22"/>
              </w:rPr>
            </w:pPr>
            <w:r>
              <w:rPr>
                <w:rFonts w:ascii="宋体"/>
                <w:sz w:val="22"/>
              </w:rPr>
              <w:t>通过购置相关设备，提升实验室进境粮食病害检测能力和分子生物学检测能力，提升应对口岸进境粮食的检验检疫能力。</w:t>
            </w:r>
          </w:p>
        </w:tc>
      </w:tr>
      <w:tr>
        <w:trPr>
          <w:trHeight w:val="599"/>
        </w:trPr>
        <w:tc>
          <w:tcPr>
            <w:tcW w:w="153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绩</w:t>
            </w:r>
          </w:p>
          <w:p>
            <w:pPr>
              <w:jc w:val="center"/>
              <w:rPr>
                <w:rFonts w:ascii="宋体"/>
                <w:sz w:val="22"/>
              </w:rPr>
            </w:pPr>
            <w:r>
              <w:rPr>
                <w:rFonts w:ascii="宋体"/>
                <w:sz w:val="22"/>
              </w:rPr>
              <w:t>效</w:t>
            </w:r>
          </w:p>
          <w:p>
            <w:pPr>
              <w:jc w:val="center"/>
              <w:rPr>
                <w:rFonts w:ascii="宋体"/>
                <w:sz w:val="22"/>
              </w:rPr>
            </w:pPr>
            <w:r>
              <w:rPr>
                <w:rFonts w:ascii="宋体"/>
                <w:sz w:val="22"/>
              </w:rPr>
              <w:t>指</w:t>
            </w:r>
          </w:p>
          <w:p>
            <w:pPr>
              <w:jc w:val="center"/>
              <w:rPr>
                <w:rFonts w:ascii="宋体"/>
                <w:sz w:val="22"/>
              </w:rPr>
            </w:pPr>
            <w:r>
              <w:rPr>
                <w:rFonts w:ascii="宋体"/>
                <w:sz w:val="22"/>
              </w:rPr>
              <w:t>标</w:t>
            </w: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1531"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三级指标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成本指标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经济成本指标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仪器设备采购总成本</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≤130万元</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产出指标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仪器设备采购数量</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≥2台/套</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仪器设备验收合格率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重大突发检验检疫问题处理案件处理率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30</w:t>
            </w:r>
          </w:p>
        </w:tc>
      </w:tr>
      <w:tr>
        <w:trPr>
          <w:trHeight w:val="434"/>
        </w:trPr>
        <w:tc>
          <w:tcPr>
            <w:tcW w:w="1531" w:type="dxa"/>
            <w:tcBorders>
              <w:top w:val="nil"/>
              <w:left w:val="nil"/>
              <w:bottom w:val="nil"/>
              <w:right w:val="nil"/>
              <w:tl2br w:val="nil"/>
              <w:tr2bl w:val="nil"/>
            </w:tcBorders>
            <w:noWrap/>
            <w:vAlign w:val="center"/>
          </w:tcPr>
          <w:p>
            <w:pPr>
              <w:rPr>
                <w:rFonts w:ascii="宋体"/>
                <w:sz w:val="24"/>
              </w:rPr>
            </w:pPr>
          </w:p>
        </w:tc>
        <w:tc>
          <w:tcPr>
            <w:tcW w:w="1246" w:type="dxa"/>
            <w:tcBorders>
              <w:top w:val="nil"/>
              <w:left w:val="nil"/>
              <w:bottom w:val="nil"/>
              <w:right w:val="nil"/>
              <w:tl2br w:val="nil"/>
              <w:tr2bl w:val="nil"/>
            </w:tcBorders>
            <w:noWrap/>
            <w:vAlign w:val="center"/>
          </w:tcPr>
          <w:p>
            <w:pPr>
              <w:rPr>
                <w:rFonts w:ascii="宋体"/>
                <w:sz w:val="24"/>
              </w:rPr>
            </w:pPr>
          </w:p>
        </w:tc>
        <w:tc>
          <w:tcPr>
            <w:tcW w:w="1816" w:type="dxa"/>
            <w:tcBorders>
              <w:top w:val="nil"/>
              <w:left w:val="nil"/>
              <w:bottom w:val="nil"/>
              <w:right w:val="nil"/>
              <w:tl2br w:val="nil"/>
              <w:tr2bl w:val="nil"/>
            </w:tcBorders>
            <w:noWrap/>
            <w:vAlign w:val="center"/>
          </w:tcPr>
          <w:p>
            <w:pPr>
              <w:rPr>
                <w:rFonts w:ascii="宋体"/>
                <w:sz w:val="24"/>
              </w:rPr>
            </w:pPr>
          </w:p>
        </w:tc>
        <w:tc>
          <w:tcPr>
            <w:tcW w:w="1531" w:type="dxa"/>
            <w:gridSpan w:val="2"/>
            <w:tcBorders>
              <w:top w:val="nil"/>
              <w:left w:val="nil"/>
              <w:bottom w:val="nil"/>
              <w:right w:val="nil"/>
              <w:tl2br w:val="nil"/>
              <w:tr2bl w:val="nil"/>
            </w:tcBorders>
            <w:noWrap/>
            <w:vAlign w:val="center"/>
          </w:tcPr>
          <w:p>
            <w:pPr>
              <w:rPr>
                <w:sz w:val="24"/>
              </w:rPr>
            </w:pPr>
          </w:p>
        </w:tc>
        <w:tc>
          <w:tcPr>
            <w:tcW w:w="1531" w:type="dxa"/>
            <w:tcBorders>
              <w:top w:val="nil"/>
              <w:left w:val="nil"/>
              <w:bottom w:val="nil"/>
              <w:right w:val="nil"/>
              <w:tl2br w:val="nil"/>
              <w:tr2bl w:val="nil"/>
            </w:tcBorders>
            <w:noWrap/>
            <w:vAlign w:val="center"/>
          </w:tcPr>
          <w:p>
            <w:pPr>
              <w:rPr>
                <w:rFonts w:ascii="宋体"/>
                <w:sz w:val="24"/>
              </w:rPr>
            </w:pPr>
          </w:p>
        </w:tc>
        <w:tc>
          <w:tcPr>
            <w:tcW w:w="1531" w:type="dxa"/>
            <w:tcBorders>
              <w:top w:val="nil"/>
              <w:left w:val="nil"/>
              <w:bottom w:val="nil"/>
              <w:right w:val="nil"/>
              <w:tl2br w:val="nil"/>
              <w:tr2bl w:val="nil"/>
            </w:tcBorders>
            <w:noWrap/>
            <w:vAlign w:val="center"/>
          </w:tcPr>
          <w:p>
            <w:pPr>
              <w:rPr>
                <w:rFonts w:ascii="宋体"/>
                <w:sz w:val="24"/>
              </w:rPr>
            </w:pPr>
          </w:p>
        </w:tc>
      </w:tr>
    </w:tbl>
    <w:p>
      <w:pPr>
        <w:ind w:left="-315"/>
        <w:jc w:val="center"/>
        <w:rPr>
          <w:b/>
          <w:sz w:val="84"/>
          <w:szCs w:val="84"/>
        </w:rPr>
      </w:pPr>
    </w:p>
    <w:p>
      <w:pPr>
        <w:ind w:left="-315"/>
        <w:jc w:val="center"/>
        <w:rPr>
          <w:b/>
          <w:sz w:val="84"/>
          <w:szCs w:val="84"/>
        </w:rPr>
      </w:pPr>
    </w:p>
    <w:p>
      <w:pPr>
        <w:ind w:left="-315"/>
        <w:jc w:val="center"/>
        <w:rPr>
          <w:b/>
          <w:sz w:val="84"/>
          <w:szCs w:val="84"/>
        </w:rPr>
      </w:pPr>
    </w:p>
    <w:tbl>
      <w:tblPr>
        <w:jc w:val="left"/>
        <w:tblW w:w="918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531"/>
        <w:gridCol w:w="1246"/>
        <w:gridCol w:w="1816"/>
        <w:gridCol w:w="68"/>
        <w:gridCol w:w="1463"/>
        <w:gridCol w:w="1531"/>
        <w:gridCol w:w="1531"/>
      </w:tblGrid>
      <w:tr>
        <w:trPr>
          <w:trHeight w:val="704"/>
        </w:trPr>
        <w:tc>
          <w:tcPr>
            <w:tcW w:w="9186" w:type="dxa"/>
            <w:gridSpan w:val="7"/>
            <w:tcBorders>
              <w:top w:val="nil"/>
              <w:left w:val="nil"/>
              <w:bottom w:val="nil"/>
              <w:right w:val="nil"/>
              <w:tl2br w:val="nil"/>
              <w:tr2bl w:val="nil"/>
            </w:tcBorders>
            <w:noWrap/>
            <w:vAlign w:val="center"/>
          </w:tcPr>
          <w:p>
            <w:pPr>
              <w:jc w:val="center"/>
              <w:rPr>
                <w:rFonts w:ascii="黑体" w:eastAsia="黑体"/>
                <w:sz w:val="32"/>
              </w:rPr>
            </w:pPr>
            <w:r>
              <w:rPr>
                <w:rFonts w:ascii="黑体" w:eastAsia="黑体"/>
                <w:sz w:val="32"/>
              </w:rPr>
              <w:t>海关实验室仪器设备更新项目（海关）项目绩效目标表</w:t>
            </w:r>
          </w:p>
        </w:tc>
      </w:tr>
      <w:tr>
        <w:trPr>
          <w:trHeight w:val="494"/>
        </w:trPr>
        <w:tc>
          <w:tcPr>
            <w:tcW w:w="9186" w:type="dxa"/>
            <w:gridSpan w:val="7"/>
            <w:tcBorders>
              <w:top w:val="nil"/>
              <w:left w:val="nil"/>
              <w:bottom w:val="nil"/>
              <w:right w:val="nil"/>
              <w:tl2br w:val="nil"/>
              <w:tr2bl w:val="nil"/>
            </w:tcBorders>
            <w:noWrap/>
          </w:tcPr>
          <w:p>
            <w:pPr>
              <w:jc w:val="center"/>
              <w:rPr>
                <w:rFonts w:ascii="宋体"/>
                <w:sz w:val="24"/>
              </w:rPr>
            </w:pPr>
            <w:r>
              <w:rPr>
                <w:rFonts w:ascii="宋体"/>
                <w:sz w:val="24"/>
              </w:rPr>
              <w:t>（2025年度）</w:t>
            </w:r>
          </w:p>
        </w:tc>
      </w:tr>
      <w:tr>
        <w:trPr>
          <w:trHeight w:val="434"/>
        </w:trPr>
        <w:tc>
          <w:tcPr>
            <w:tcW w:w="277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项目名称</w:t>
            </w:r>
          </w:p>
        </w:tc>
        <w:tc>
          <w:tcPr>
            <w:tcW w:w="6409" w:type="dxa"/>
            <w:gridSpan w:val="5"/>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海关实验室仪器设备更新项目（海关）</w:t>
            </w:r>
          </w:p>
        </w:tc>
      </w:tr>
      <w:tr>
        <w:trPr>
          <w:trHeight w:val="434"/>
        </w:trPr>
        <w:tc>
          <w:tcPr>
            <w:tcW w:w="2777"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主管部门及代码</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[167]海关总署</w:t>
            </w:r>
          </w:p>
        </w:tc>
        <w:tc>
          <w:tcPr>
            <w:tcW w:w="1463"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实施单位</w:t>
            </w:r>
          </w:p>
        </w:tc>
        <w:tc>
          <w:tcPr>
            <w:tcW w:w="3062"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茂名海关综合技术服务中心</w:t>
            </w:r>
          </w:p>
        </w:tc>
      </w:tr>
      <w:tr>
        <w:trPr>
          <w:trHeight w:val="434"/>
        </w:trPr>
        <w:tc>
          <w:tcPr>
            <w:tcW w:w="2777" w:type="dxa"/>
            <w:gridSpan w:val="2"/>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项目资金</w:t>
            </w:r>
          </w:p>
          <w:p>
            <w:pPr>
              <w:jc w:val="center"/>
              <w:rPr>
                <w:rFonts w:ascii="宋体"/>
                <w:sz w:val="22"/>
              </w:rPr>
            </w:pPr>
            <w:r>
              <w:rPr>
                <w:rFonts w:ascii="宋体"/>
                <w:sz w:val="22"/>
              </w:rPr>
              <w:t>（万元）</w:t>
            </w: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rPr>
                <w:rFonts w:ascii="宋体"/>
                <w:sz w:val="22"/>
              </w:rPr>
            </w:pPr>
            <w:r>
              <w:rPr>
                <w:rFonts w:ascii="宋体"/>
                <w:sz w:val="22"/>
              </w:rPr>
              <w:t xml:space="preserve"> 年度资金总额：</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34.05</w:t>
            </w:r>
          </w:p>
        </w:tc>
        <w:tc>
          <w:tcPr>
            <w:tcW w:w="1531" w:type="dxa"/>
            <w:vMerge w:val="restart"/>
            <w:tcBorders>
              <w:top w:val="single" w:sz="6" w:space="0" w:color="auto"/>
              <w:left w:val="single" w:sz="6" w:space="0" w:color="auto"/>
              <w:bottom w:val="nil"/>
              <w:right w:val="single" w:sz="6" w:space="0" w:color="auto"/>
              <w:tl2br w:val="nil"/>
              <w:tr2bl w:val="nil"/>
            </w:tcBorders>
            <w:shd w:val="clear" w:color="auto" w:fill="FFFFFF"/>
            <w:noWrap/>
            <w:vAlign w:val="center"/>
          </w:tcPr>
          <w:p>
            <w:pPr>
              <w:jc w:val="center"/>
              <w:rPr>
                <w:rFonts w:ascii="宋体"/>
                <w:sz w:val="22"/>
              </w:rPr>
            </w:pPr>
            <w:r>
              <w:rPr>
                <w:rFonts w:ascii="宋体"/>
                <w:sz w:val="22"/>
              </w:rPr>
              <w:t>执行率</w:t>
            </w:r>
          </w:p>
          <w:p>
            <w:pPr>
              <w:jc w:val="center"/>
              <w:rPr>
                <w:rFonts w:ascii="宋体"/>
                <w:sz w:val="22"/>
              </w:rPr>
            </w:pPr>
            <w:r>
              <w:rPr>
                <w:rFonts w:ascii="宋体"/>
                <w:sz w:val="22"/>
              </w:rPr>
              <w:t>分值</w:t>
            </w:r>
          </w:p>
          <w:p>
            <w:pPr>
              <w:jc w:val="center"/>
              <w:rPr>
                <w:rFonts w:ascii="宋体"/>
                <w:sz w:val="22"/>
              </w:rPr>
            </w:pPr>
            <w:r>
              <w:rPr>
                <w:rFonts w:ascii="宋体"/>
                <w:sz w:val="22"/>
              </w:rPr>
              <w:t>（10）</w:t>
            </w:r>
          </w:p>
        </w:tc>
      </w:tr>
      <w:tr>
        <w:trPr>
          <w:trHeight w:val="434"/>
        </w:trPr>
        <w:tc>
          <w:tcPr>
            <w:tcW w:w="2777" w:type="dxa"/>
            <w:gridSpan w:val="2"/>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其中：财政拨款</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vMerge/>
            <w:tcBorders>
              <w:top w:val="nil"/>
              <w:left w:val="single" w:sz="6" w:space="0" w:color="auto"/>
              <w:bottom w:val="nil"/>
              <w:right w:val="single" w:sz="6" w:space="0" w:color="auto"/>
              <w:tl2br w:val="nil"/>
              <w:tr2bl w:val="nil"/>
            </w:tcBorders>
            <w:noWrap/>
            <w:vAlign w:val="center"/>
          </w:tcPr>
          <w:p/>
        </w:tc>
      </w:tr>
      <w:tr>
        <w:trPr>
          <w:trHeight w:val="434"/>
        </w:trPr>
        <w:tc>
          <w:tcPr>
            <w:tcW w:w="2777" w:type="dxa"/>
            <w:gridSpan w:val="2"/>
            <w:vMerge/>
            <w:tcBorders>
              <w:top w:val="nil"/>
              <w:left w:val="single" w:sz="6" w:space="0" w:color="auto"/>
              <w:bottom w:val="nil"/>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上年结转</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34.05</w:t>
            </w:r>
          </w:p>
        </w:tc>
        <w:tc>
          <w:tcPr>
            <w:tcW w:w="1531" w:type="dxa"/>
            <w:vMerge/>
            <w:tcBorders>
              <w:top w:val="nil"/>
              <w:left w:val="single" w:sz="6" w:space="0" w:color="auto"/>
              <w:bottom w:val="nil"/>
              <w:right w:val="single" w:sz="6" w:space="0" w:color="auto"/>
              <w:tl2br w:val="nil"/>
              <w:tr2bl w:val="nil"/>
            </w:tcBorders>
            <w:noWrap/>
            <w:vAlign w:val="center"/>
          </w:tcPr>
          <w:p/>
        </w:tc>
      </w:tr>
      <w:tr>
        <w:trPr>
          <w:trHeight w:val="434"/>
        </w:trPr>
        <w:tc>
          <w:tcPr>
            <w:tcW w:w="2777" w:type="dxa"/>
            <w:gridSpan w:val="2"/>
            <w:vMerge/>
            <w:tcBorders>
              <w:top w:val="nil"/>
              <w:left w:val="single" w:sz="6" w:space="0" w:color="auto"/>
              <w:bottom w:val="single" w:sz="6" w:space="0" w:color="auto"/>
              <w:right w:val="single" w:sz="6" w:space="0" w:color="auto"/>
              <w:tl2br w:val="nil"/>
              <w:tr2bl w:val="nil"/>
            </w:tcBorders>
            <w:noWrap/>
            <w:vAlign w:val="center"/>
          </w:tcPr>
          <w:p/>
        </w:tc>
        <w:tc>
          <w:tcPr>
            <w:tcW w:w="1884" w:type="dxa"/>
            <w:gridSpan w:val="2"/>
            <w:tcBorders>
              <w:top w:val="single" w:sz="6" w:space="0" w:color="auto"/>
              <w:left w:val="single" w:sz="6" w:space="0" w:color="auto"/>
              <w:bottom w:val="single" w:sz="6" w:space="0" w:color="auto"/>
              <w:right w:val="nil"/>
              <w:tl2br w:val="nil"/>
              <w:tr2bl w:val="nil"/>
            </w:tcBorders>
            <w:noWrap/>
            <w:vAlign w:val="center"/>
          </w:tcPr>
          <w:p>
            <w:pPr>
              <w:jc w:val="center"/>
              <w:rPr>
                <w:rFonts w:ascii="宋体"/>
                <w:sz w:val="22"/>
              </w:rPr>
            </w:pPr>
            <w:r>
              <w:rPr>
                <w:rFonts w:ascii="宋体"/>
                <w:sz w:val="22"/>
              </w:rPr>
              <w:t xml:space="preserve">       其他资金</w:t>
            </w:r>
          </w:p>
        </w:tc>
        <w:tc>
          <w:tcPr>
            <w:tcW w:w="2994" w:type="dxa"/>
            <w:gridSpan w:val="2"/>
            <w:tcBorders>
              <w:top w:val="single" w:sz="6" w:space="0" w:color="auto"/>
              <w:left w:val="single" w:sz="6" w:space="0" w:color="auto"/>
              <w:bottom w:val="single" w:sz="6" w:space="0" w:color="auto"/>
              <w:right w:val="single" w:sz="6" w:space="0" w:color="auto"/>
              <w:tl2br w:val="nil"/>
              <w:tr2bl w:val="nil"/>
            </w:tcBorders>
            <w:noWrap/>
            <w:vAlign w:val="center"/>
          </w:tcPr>
          <w:p>
            <w:pPr>
              <w:jc w:val="right"/>
              <w:rPr>
                <w:rFonts w:ascii="宋体"/>
                <w:sz w:val="22"/>
              </w:rPr>
            </w:pPr>
            <w:r>
              <w:rPr>
                <w:rFonts w:ascii="宋体"/>
                <w:sz w:val="22"/>
              </w:rPr>
              <w:t>-</w:t>
            </w:r>
          </w:p>
        </w:tc>
        <w:tc>
          <w:tcPr>
            <w:tcW w:w="1531" w:type="dxa"/>
            <w:vMerge/>
            <w:tcBorders>
              <w:top w:val="nil"/>
              <w:left w:val="single" w:sz="6" w:space="0" w:color="auto"/>
              <w:bottom w:val="single" w:sz="6" w:space="0" w:color="auto"/>
              <w:right w:val="single" w:sz="6" w:space="0" w:color="auto"/>
              <w:tl2br w:val="nil"/>
              <w:tr2bl w:val="nil"/>
            </w:tcBorders>
            <w:noWrap/>
            <w:vAlign w:val="center"/>
          </w:tcPr>
          <w:p/>
        </w:tc>
      </w:tr>
      <w:tr>
        <w:trPr>
          <w:trHeight w:val="1784"/>
        </w:trPr>
        <w:tc>
          <w:tcPr>
            <w:tcW w:w="1531" w:type="dxa"/>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年</w:t>
            </w:r>
          </w:p>
          <w:p>
            <w:pPr>
              <w:jc w:val="center"/>
              <w:rPr>
                <w:rFonts w:ascii="宋体"/>
                <w:sz w:val="22"/>
              </w:rPr>
            </w:pPr>
            <w:r>
              <w:rPr>
                <w:rFonts w:ascii="宋体"/>
                <w:sz w:val="22"/>
              </w:rPr>
              <w:t>度</w:t>
            </w:r>
          </w:p>
          <w:p>
            <w:pPr>
              <w:jc w:val="center"/>
              <w:rPr>
                <w:rFonts w:ascii="宋体"/>
                <w:sz w:val="22"/>
              </w:rPr>
            </w:pPr>
            <w:r>
              <w:rPr>
                <w:rFonts w:ascii="宋体"/>
                <w:sz w:val="22"/>
              </w:rPr>
              <w:t>总</w:t>
            </w:r>
          </w:p>
          <w:p>
            <w:pPr>
              <w:jc w:val="center"/>
              <w:rPr>
                <w:rFonts w:ascii="宋体"/>
                <w:sz w:val="22"/>
              </w:rPr>
            </w:pPr>
            <w:r>
              <w:rPr>
                <w:rFonts w:ascii="宋体"/>
                <w:sz w:val="22"/>
              </w:rPr>
              <w:t>体</w:t>
            </w:r>
          </w:p>
          <w:p>
            <w:pPr>
              <w:jc w:val="center"/>
              <w:rPr>
                <w:rFonts w:ascii="宋体"/>
                <w:sz w:val="22"/>
              </w:rPr>
            </w:pPr>
            <w:r>
              <w:rPr>
                <w:rFonts w:ascii="宋体"/>
                <w:sz w:val="22"/>
              </w:rPr>
              <w:t>目</w:t>
            </w:r>
          </w:p>
          <w:p>
            <w:pPr>
              <w:jc w:val="center"/>
              <w:rPr>
                <w:rFonts w:ascii="宋体"/>
                <w:sz w:val="22"/>
              </w:rPr>
            </w:pPr>
            <w:r>
              <w:rPr>
                <w:rFonts w:ascii="宋体"/>
                <w:sz w:val="22"/>
              </w:rPr>
              <w:t>标</w:t>
            </w:r>
          </w:p>
        </w:tc>
        <w:tc>
          <w:tcPr>
            <w:tcW w:w="7655" w:type="dxa"/>
            <w:gridSpan w:val="6"/>
            <w:tcBorders>
              <w:top w:val="single" w:sz="6" w:space="0" w:color="auto"/>
              <w:left w:val="single" w:sz="6" w:space="0" w:color="auto"/>
              <w:bottom w:val="single" w:sz="6" w:space="0" w:color="auto"/>
              <w:right w:val="single" w:sz="6" w:space="0" w:color="auto"/>
              <w:tl2br w:val="nil"/>
              <w:tr2bl w:val="nil"/>
            </w:tcBorders>
            <w:noWrap/>
            <w:vAlign w:val="center"/>
          </w:tcPr>
          <w:p>
            <w:pPr>
              <w:ind w:firstLineChars="200" w:firstLine="440"/>
              <w:rPr>
                <w:rFonts w:ascii="宋体"/>
                <w:sz w:val="22"/>
              </w:rPr>
            </w:pPr>
            <w:r>
              <w:rPr>
                <w:rFonts w:ascii="宋体"/>
                <w:sz w:val="22"/>
              </w:rPr>
              <w:t>1、通过对茂名关区实验室仪器设备的更新，提升海关相关检测能力，解决现有检测能力不适应检测业务需求的问题；</w:t>
            </w:r>
          </w:p>
          <w:p>
            <w:pPr>
              <w:ind w:firstLineChars="200" w:firstLine="440"/>
              <w:rPr>
                <w:rFonts w:ascii="宋体"/>
                <w:sz w:val="22"/>
              </w:rPr>
            </w:pPr>
            <w:r>
              <w:rPr>
                <w:rFonts w:ascii="宋体"/>
                <w:sz w:val="22"/>
              </w:rPr>
              <w:t>2、更新设备可满足新增检测项目需求，多维度保障海关职能的发挥；</w:t>
            </w:r>
          </w:p>
          <w:p>
            <w:pPr>
              <w:ind w:firstLineChars="200" w:firstLine="440"/>
              <w:rPr>
                <w:rFonts w:ascii="宋体"/>
                <w:sz w:val="22"/>
              </w:rPr>
            </w:pPr>
            <w:r>
              <w:rPr>
                <w:rFonts w:ascii="宋体"/>
                <w:sz w:val="22"/>
              </w:rPr>
              <w:t>3、更新设备后关区实验室能力得到保持或有所提升。</w:t>
            </w:r>
          </w:p>
        </w:tc>
      </w:tr>
      <w:tr>
        <w:trPr>
          <w:trHeight w:val="599"/>
        </w:trPr>
        <w:tc>
          <w:tcPr>
            <w:tcW w:w="1531" w:type="dxa"/>
            <w:vMerge w:val="restart"/>
            <w:tcBorders>
              <w:top w:val="single" w:sz="6" w:space="0" w:color="auto"/>
              <w:left w:val="single" w:sz="6" w:space="0" w:color="auto"/>
              <w:bottom w:val="nil"/>
              <w:right w:val="single" w:sz="6" w:space="0" w:color="auto"/>
              <w:tl2br w:val="nil"/>
              <w:tr2bl w:val="nil"/>
            </w:tcBorders>
            <w:noWrap/>
            <w:vAlign w:val="center"/>
          </w:tcPr>
          <w:p>
            <w:pPr>
              <w:jc w:val="center"/>
              <w:rPr>
                <w:rFonts w:ascii="宋体"/>
                <w:sz w:val="22"/>
              </w:rPr>
            </w:pPr>
            <w:r>
              <w:rPr>
                <w:rFonts w:ascii="宋体"/>
                <w:sz w:val="22"/>
              </w:rPr>
              <w:t>绩</w:t>
            </w:r>
          </w:p>
          <w:p>
            <w:pPr>
              <w:jc w:val="center"/>
              <w:rPr>
                <w:rFonts w:ascii="宋体"/>
                <w:sz w:val="22"/>
              </w:rPr>
            </w:pPr>
            <w:r>
              <w:rPr>
                <w:rFonts w:ascii="宋体"/>
                <w:sz w:val="22"/>
              </w:rPr>
              <w:t>效</w:t>
            </w:r>
          </w:p>
          <w:p>
            <w:pPr>
              <w:jc w:val="center"/>
              <w:rPr>
                <w:rFonts w:ascii="宋体"/>
                <w:sz w:val="22"/>
              </w:rPr>
            </w:pPr>
            <w:r>
              <w:rPr>
                <w:rFonts w:ascii="宋体"/>
                <w:sz w:val="22"/>
              </w:rPr>
              <w:t>指</w:t>
            </w:r>
          </w:p>
          <w:p>
            <w:pPr>
              <w:jc w:val="center"/>
              <w:rPr>
                <w:rFonts w:ascii="宋体"/>
                <w:sz w:val="22"/>
              </w:rPr>
            </w:pPr>
            <w:r>
              <w:rPr>
                <w:rFonts w:ascii="宋体"/>
                <w:sz w:val="22"/>
              </w:rPr>
              <w:t>标</w:t>
            </w: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一级指标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二级指标</w:t>
            </w:r>
          </w:p>
        </w:tc>
        <w:tc>
          <w:tcPr>
            <w:tcW w:w="1531" w:type="dxa"/>
            <w:gridSpan w:val="2"/>
            <w:tcBorders>
              <w:top w:val="single" w:sz="6" w:space="0" w:color="auto"/>
              <w:left w:val="nil"/>
              <w:bottom w:val="single" w:sz="6" w:space="0" w:color="auto"/>
              <w:right w:val="single" w:sz="6" w:space="0" w:color="auto"/>
              <w:tl2br w:val="nil"/>
              <w:tr2bl w:val="nil"/>
            </w:tcBorders>
            <w:noWrap/>
            <w:vAlign w:val="center"/>
          </w:tcPr>
          <w:p>
            <w:pPr>
              <w:jc w:val="center"/>
              <w:rPr>
                <w:rFonts w:ascii="宋体"/>
                <w:sz w:val="22"/>
              </w:rPr>
            </w:pPr>
            <w:r>
              <w:rPr>
                <w:rFonts w:ascii="宋体"/>
                <w:sz w:val="22"/>
              </w:rPr>
              <w:t>三级指标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指标值</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分值</w:t>
            </w:r>
          </w:p>
          <w:p>
            <w:pPr>
              <w:jc w:val="center"/>
              <w:rPr>
                <w:rFonts w:ascii="宋体"/>
                <w:sz w:val="22"/>
              </w:rPr>
            </w:pPr>
            <w:r>
              <w:rPr>
                <w:rFonts w:ascii="宋体"/>
                <w:sz w:val="22"/>
              </w:rPr>
              <w:t>（90）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成本指标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经济成本指标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设备购置成本</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≤34.05万元</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20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产出指标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数量指标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设备设施购置数量</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≥1台/套</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15</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val="restart"/>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质量指标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仪器设备验收完成率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15</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816" w:type="dxa"/>
            <w:vMerge/>
            <w:tcBorders>
              <w:top w:val="single" w:sz="6" w:space="0" w:color="auto"/>
              <w:left w:val="single" w:sz="6" w:space="0" w:color="auto"/>
              <w:bottom w:val="single" w:sz="6" w:space="0" w:color="auto"/>
              <w:right w:val="single" w:sz="6" w:space="0" w:color="auto"/>
              <w:tl2br w:val="nil"/>
              <w:tr2bl w:val="nil"/>
            </w:tcBorders>
            <w:noWrap/>
            <w:vAlign w:val="center"/>
          </w:tcP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法检自检率</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≥90%</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10</w:t>
            </w:r>
          </w:p>
        </w:tc>
      </w:tr>
      <w:tr>
        <w:trPr>
          <w:trHeight w:val="434"/>
        </w:trPr>
        <w:tc>
          <w:tcPr>
            <w:tcW w:w="1531" w:type="dxa"/>
            <w:vMerge/>
            <w:tcBorders>
              <w:top w:val="nil"/>
              <w:left w:val="single" w:sz="6" w:space="0" w:color="auto"/>
              <w:bottom w:val="single" w:sz="6" w:space="0" w:color="auto"/>
              <w:right w:val="single" w:sz="6" w:space="0" w:color="auto"/>
              <w:tl2br w:val="nil"/>
              <w:tr2bl w:val="nil"/>
            </w:tcBorders>
            <w:noWrap/>
            <w:vAlign w:val="center"/>
          </w:tcPr>
          <w:p/>
        </w:tc>
        <w:tc>
          <w:tcPr>
            <w:tcW w:w="124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效益指标</w:t>
            </w:r>
          </w:p>
        </w:tc>
        <w:tc>
          <w:tcPr>
            <w:tcW w:w="1816"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社会效益指标</w:t>
            </w:r>
          </w:p>
        </w:tc>
        <w:tc>
          <w:tcPr>
            <w:tcW w:w="1531" w:type="dxa"/>
            <w:gridSpan w:val="2"/>
            <w:tcBorders>
              <w:top w:val="single" w:sz="6" w:space="0" w:color="auto"/>
              <w:left w:val="nil"/>
              <w:bottom w:val="single" w:sz="6" w:space="0" w:color="auto"/>
              <w:right w:val="nil"/>
              <w:tl2br w:val="nil"/>
              <w:tr2bl w:val="nil"/>
            </w:tcBorders>
            <w:noWrap/>
            <w:vAlign w:val="center"/>
          </w:tcPr>
          <w:p>
            <w:pPr>
              <w:rPr>
                <w:rFonts w:ascii="宋体"/>
                <w:sz w:val="22"/>
              </w:rPr>
            </w:pPr>
            <w:r>
              <w:rPr>
                <w:rFonts w:ascii="宋体"/>
                <w:sz w:val="22"/>
              </w:rPr>
              <w:t>提升海关实验室技术能力</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良</w:t>
            </w:r>
          </w:p>
        </w:tc>
        <w:tc>
          <w:tcPr>
            <w:tcW w:w="1531" w:type="dxa"/>
            <w:tcBorders>
              <w:top w:val="single" w:sz="6" w:space="0" w:color="auto"/>
              <w:left w:val="single" w:sz="6" w:space="0" w:color="auto"/>
              <w:bottom w:val="single" w:sz="6" w:space="0" w:color="auto"/>
              <w:right w:val="single" w:sz="6" w:space="0" w:color="auto"/>
              <w:tl2br w:val="nil"/>
              <w:tr2bl w:val="nil"/>
            </w:tcBorders>
            <w:noWrap/>
            <w:vAlign w:val="center"/>
          </w:tcPr>
          <w:p>
            <w:pPr>
              <w:jc w:val="center"/>
              <w:rPr>
                <w:rFonts w:ascii="宋体"/>
                <w:sz w:val="22"/>
              </w:rPr>
            </w:pPr>
            <w:r>
              <w:rPr>
                <w:rFonts w:ascii="宋体"/>
                <w:sz w:val="22"/>
              </w:rPr>
              <w:t>30</w:t>
            </w:r>
          </w:p>
        </w:tc>
      </w:tr>
    </w:tbl>
    <w:p>
      <w:pPr>
        <w:ind w:left="-315"/>
        <w:jc w:val="center"/>
        <w:rPr>
          <w:b/>
          <w:sz w:val="84"/>
          <w:szCs w:val="84"/>
        </w:rPr>
      </w:pPr>
    </w:p>
    <w:sectPr>
      <w:pgSz w:w="12240" w:h="15840"/>
      <w:pgMar w:top="1440" w:right="1800" w:bottom="1440" w:left="1800" w:header="720" w:footer="720" w:gutter="0"/>
      <w:docGrid w:linePitch="285" w:charSpace="0"/>
    </w:sectPr>
  </w:body>
</w:document>
</file>

<file path=word/fontTable.xml><?xml version="1.0" encoding="utf-8"?>
<w:fonts xmlns:w="http://schemas.openxmlformats.org/wordprocessingml/2006/main" xmlns:r="http://schemas.openxmlformats.org/officeDocument/2006/relationships">
  <w:font w:name="黑体">
    <w:altName w:val="SimHei"/>
    <w:panose1 w:val="02010609060101010101"/>
    <w:charset w:val="86"/>
    <w:family w:val="modern"/>
    <w:pitch w:val="variable"/>
    <w:sig w:usb0="800002BF" w:usb1="38CF7CFA"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微软雅黑">
    <w:panose1 w:val="020B0503020204020204"/>
    <w:charset w:val="86"/>
    <w:family w:val="swiss"/>
    <w:pitch w:val="variable"/>
    <w:sig w:usb0="80000287" w:usb1="280F3C52" w:usb2="00000016" w:usb3="00000000" w:csb0="0004001F" w:csb1="00000000"/>
  </w:font>
  <w:font w:name="方正楷体_GBK">
    <w:panose1 w:val="03000509000000000000"/>
    <w:charset w:val="86"/>
    <w:family w:val="script"/>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tabs>
        <w:tab w:val="center" w:pos="4153"/>
        <w:tab w:val="right" w:pos="8307"/>
      </w:tabs>
      <w:jc w:val="both"/>
    </w:pPr>
  </w:p>
  <w:p>
    <w:pPr>
      <w:pStyle w:val="20"/>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paragraph" w:styleId="4">
    <w:name w:val="heading 4"/>
    <w:basedOn w:val="0"/>
    <w:next w:val="0"/>
    <w:pPr>
      <w:keepNext/>
      <w:keepLines/>
      <w:widowControl w:val="0"/>
      <w:spacing w:before="280" w:after="290" w:line="377" w:lineRule="auto"/>
      <w:outlineLvl w:val="3"/>
    </w:pPr>
    <w:rPr>
      <w:rFonts w:ascii="Cambria" w:hAnsi="Cambria"/>
      <w:b/>
      <w:bCs/>
      <w:sz w:val="28"/>
      <w:szCs w:val="28"/>
    </w:rPr>
  </w:style>
  <w:style w:type="character" w:default="1" w:styleId="10">
    <w:name w:val="Default Paragraph Font"/>
  </w:style>
  <w:style w:type="paragraph" w:styleId="15">
    <w:name w:val="index 5"/>
    <w:basedOn w:val="0"/>
    <w:autoRedefine/>
    <w:next w:val="0"/>
    <w:pPr>
      <w:ind w:left="1680"/>
    </w:pPr>
  </w:style>
  <w:style w:type="paragraph" w:styleId="16">
    <w:name w:val="index 6"/>
    <w:basedOn w:val="0"/>
    <w:autoRedefine/>
    <w:next w:val="0"/>
    <w:pPr>
      <w:ind w:left="2100"/>
    </w:pPr>
  </w:style>
  <w:style w:type="paragraph" w:styleId="17">
    <w:name w:val="index 7"/>
    <w:basedOn w:val="0"/>
    <w:autoRedefine/>
    <w:next w:val="0"/>
    <w:pPr>
      <w:ind w:left="2520"/>
    </w:pPr>
  </w:style>
  <w:style w:type="paragraph" w:styleId="18">
    <w:name w:val="index 8"/>
    <w:basedOn w:val="0"/>
    <w:autoRedefine/>
    <w:next w:val="0"/>
    <w:pPr>
      <w:ind w:left="2940"/>
    </w:pPr>
  </w:style>
  <w:style w:type="paragraph" w:styleId="19">
    <w:name w:val="header"/>
    <w:basedOn w:val="0"/>
    <w:pPr>
      <w:pBdr>
        <w:bottom w:val="single" w:sz="6" w:space="1" w:color="auto"/>
      </w:pBdr>
      <w:tabs>
        <w:tab w:val="center" w:pos="4153"/>
        <w:tab w:val="right" w:pos="8307"/>
      </w:tabs>
      <w:snapToGrid w:val="0"/>
      <w:jc w:val="center"/>
    </w:pPr>
    <w:rPr>
      <w:sz w:val="18"/>
    </w:rPr>
  </w:style>
  <w:style w:type="paragraph" w:styleId="20">
    <w:name w:val="footer"/>
    <w:basedOn w:val="0"/>
    <w:pPr>
      <w:tabs>
        <w:tab w:val="center" w:pos="4153"/>
        <w:tab w:val="right" w:pos="8307"/>
      </w:tabs>
      <w:snapToGrid w:val="0"/>
      <w:jc w:val="left"/>
    </w:pPr>
    <w:rPr>
      <w:sz w:val="18"/>
    </w:rPr>
  </w:style>
  <w:style w:type="paragraph" w:customStyle="1" w:styleId="21">
    <w:name w:val="样式 1 10 磅"/>
    <w:next w:val="15"/>
    <w:pPr>
      <w:widowControl w:val="0"/>
      <w:jc w:val="both"/>
    </w:pPr>
    <w:rPr>
      <w:rFonts w:ascii="Times New Roman" w:eastAsia="宋体" w:cs="Times New Roman" w:hAnsi="Times New Roman"/>
      <w:kern w:val="2"/>
      <w:sz w:val="21"/>
      <w:szCs w:val="24"/>
      <w:lang w:val="en-US" w:eastAsia="zh-CN" w:bidi="ar-SA"/>
    </w:rPr>
  </w:style>
  <w:style w:type="paragraph" w:customStyle="1" w:styleId="22">
    <w:name w:val="样式 2 10 磅"/>
    <w:next w:val="16"/>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4 小四"/>
    <w:next w:val="18"/>
    <w:rPr>
      <w:rFonts w:ascii="宋体" w:eastAsia="宋体" w:cs="宋体"/>
      <w:sz w:val="24"/>
      <w:szCs w:val="24"/>
      <w:lang w:val="en-US" w:eastAsia="zh-CN" w:bidi="ar-SA"/>
    </w:rPr>
  </w:style>
  <w:style w:type="paragraph" w:customStyle="1" w:styleId="24">
    <w:name w:val="样式 2600 10 磅"/>
    <w:next w:val="17"/>
    <w:pPr>
      <w:widowControl w:val="0"/>
      <w:jc w:val="both"/>
    </w:pPr>
    <w:rPr>
      <w:rFonts w:ascii="Times New Roman" w:eastAsia="宋体" w:cs="Times New Roman" w:hAnsi="Times New Roman"/>
      <w:kern w:val="2"/>
      <w:sz w:val="21"/>
      <w:szCs w:val="24"/>
      <w:lang w:val="en-US" w:eastAsia="zh-CN" w:bidi="ar-SA"/>
    </w:rPr>
  </w:style>
  <w:style w:type="paragraph" w:styleId="25">
    <w:name w:val="Normal (Web)"/>
    <w:basedOn w:val="0"/>
    <w:rPr>
      <w:sz w:val="24"/>
    </w:rPr>
  </w:style>
  <w:style w:type="paragraph" w:customStyle="1" w:styleId="26">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1">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2">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38">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39">
    <w:name w:val="样式 2260 10 磅"/>
    <w:pPr>
      <w:widowControl w:val="0"/>
      <w:jc w:val="both"/>
    </w:pPr>
    <w:rPr>
      <w:rFonts w:ascii="Times New Roman" w:eastAsia="宋体" w:cs="Times New Roman" w:hAnsi="Times New Roman"/>
      <w:kern w:val="2"/>
      <w:sz w:val="21"/>
      <w:szCs w:val="24"/>
      <w:lang w:val="en-US" w:eastAsia="zh-CN" w:bidi="ar-SA"/>
    </w:rPr>
  </w:style>
  <w:style w:type="paragraph" w:customStyle="1" w:styleId="40">
    <w:name w:val="样式 2259 10 磅"/>
    <w:pPr>
      <w:widowControl w:val="0"/>
      <w:jc w:val="both"/>
    </w:pPr>
    <w:rPr>
      <w:rFonts w:ascii="Times New Roman" w:eastAsia="宋体" w:cs="Times New Roman" w:hAnsi="Times New Roman"/>
      <w:kern w:val="2"/>
      <w:sz w:val="21"/>
      <w:szCs w:val="24"/>
      <w:lang w:val="en-US" w:eastAsia="zh-CN" w:bidi="ar-SA"/>
    </w:rPr>
  </w:style>
  <w:style w:type="paragraph" w:customStyle="1" w:styleId="41">
    <w:name w:val="样式 2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
    <w:name w:val="样式 23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
    <w:name w:val="样式 22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
    <w:name w:val="样式 22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
    <w:name w:val="样式 22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
    <w:name w:val="样式 22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
    <w:name w:val="样式 22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
    <w:name w:val="样式 22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
    <w:name w:val="样式 22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
    <w:name w:val="样式 22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
    <w:name w:val="样式 22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
    <w:name w:val="样式 22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
    <w:name w:val="样式 22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
    <w:name w:val="样式 22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
    <w:name w:val="样式 22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
    <w:name w:val="样式 22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
    <w:name w:val="样式 26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
    <w:name w:val="样式 26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
    <w:name w:val="样式 26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
    <w:name w:val="样式 26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
    <w:name w:val="样式 26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
    <w:name w:val="样式 26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
    <w:name w:val="样式 26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4">
    <w:name w:val="样式 26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5">
    <w:name w:val="样式 26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
    <w:name w:val="样式 26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
    <w:name w:val="样式 26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
    <w:name w:val="样式 26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
    <w:name w:val="样式 26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
    <w:name w:val="样式 26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
    <w:name w:val="样式 26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2">
    <w:name w:val="样式 26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3">
    <w:name w:val="样式 26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4">
    <w:name w:val="样式 26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
    <w:name w:val="样式 26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
    <w:name w:val="样式 26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
    <w:name w:val="样式 26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
    <w:name w:val="样式 26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
    <w:name w:val="样式 26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
    <w:name w:val="样式 26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
    <w:name w:val="样式 26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
    <w:name w:val="样式 26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
    <w:name w:val="样式 26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
    <w:name w:val="样式 26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
    <w:name w:val="样式 26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
    <w:name w:val="样式 26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
    <w:name w:val="样式 26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
    <w:name w:val="样式 26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
    <w:name w:val="样式 26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
    <w:name w:val="样式 26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
    <w:name w:val="样式 26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
    <w:name w:val="样式 26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3">
    <w:name w:val="样式 26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4">
    <w:name w:val="样式 27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5">
    <w:name w:val="样式 27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6">
    <w:name w:val="样式 27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7">
    <w:name w:val="样式 27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8">
    <w:name w:val="样式 27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9">
    <w:name w:val="样式 27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0">
    <w:name w:val="样式 27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1">
    <w:name w:val="样式 27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2">
    <w:name w:val="样式 27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3">
    <w:name w:val="样式 27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4">
    <w:name w:val="样式 27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5">
    <w:name w:val="样式 27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6">
    <w:name w:val="样式 27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7">
    <w:name w:val="样式 27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8">
    <w:name w:val="样式 27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09">
    <w:name w:val="样式 27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0">
    <w:name w:val="样式 27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1">
    <w:name w:val="样式 27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2">
    <w:name w:val="样式 27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3">
    <w:name w:val="样式 27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4">
    <w:name w:val="样式 27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5">
    <w:name w:val="样式 27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6">
    <w:name w:val="样式 27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7">
    <w:name w:val="样式 27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8">
    <w:name w:val="样式 27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19">
    <w:name w:val="样式 27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0">
    <w:name w:val="样式 27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1">
    <w:name w:val="样式 27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2">
    <w:name w:val="样式 27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3">
    <w:name w:val="样式 27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4">
    <w:name w:val="样式 27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5">
    <w:name w:val="样式 27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6">
    <w:name w:val="样式 27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7">
    <w:name w:val="样式 27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8">
    <w:name w:val="样式 27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29">
    <w:name w:val="样式 27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0">
    <w:name w:val="样式 27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1">
    <w:name w:val="样式 27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2">
    <w:name w:val="样式 27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3">
    <w:name w:val="样式 27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4">
    <w:name w:val="样式 27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5">
    <w:name w:val="样式 27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6">
    <w:name w:val="样式 27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7">
    <w:name w:val="样式 27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8">
    <w:name w:val="样式 27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39">
    <w:name w:val="样式 27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0">
    <w:name w:val="样式 27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1">
    <w:name w:val="样式 27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2">
    <w:name w:val="样式 27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3">
    <w:name w:val="样式 27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4">
    <w:name w:val="样式 27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5">
    <w:name w:val="样式 27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6">
    <w:name w:val="样式 27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7">
    <w:name w:val="样式 27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8">
    <w:name w:val="样式 27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49">
    <w:name w:val="样式 27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0">
    <w:name w:val="样式 27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1">
    <w:name w:val="样式 27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2">
    <w:name w:val="样式 27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3">
    <w:name w:val="样式 27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4">
    <w:name w:val="样式 27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5">
    <w:name w:val="样式 27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6">
    <w:name w:val="样式 27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7">
    <w:name w:val="样式 27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8">
    <w:name w:val="样式 27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59">
    <w:name w:val="样式 27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0">
    <w:name w:val="样式 27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1">
    <w:name w:val="样式 27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2">
    <w:name w:val="样式 27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3">
    <w:name w:val="样式 27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4">
    <w:name w:val="样式 27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5">
    <w:name w:val="样式 27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6">
    <w:name w:val="样式 27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7">
    <w:name w:val="样式 27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8">
    <w:name w:val="样式 27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69">
    <w:name w:val="样式 27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0">
    <w:name w:val="样式 27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1">
    <w:name w:val="样式 27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2">
    <w:name w:val="样式 27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3">
    <w:name w:val="样式 27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4">
    <w:name w:val="样式 27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5">
    <w:name w:val="样式 27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6">
    <w:name w:val="样式 27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7">
    <w:name w:val="样式 27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8">
    <w:name w:val="样式 27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79">
    <w:name w:val="样式 27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0">
    <w:name w:val="样式 27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1">
    <w:name w:val="样式 27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2">
    <w:name w:val="样式 27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3">
    <w:name w:val="样式 27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4">
    <w:name w:val="样式 27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5">
    <w:name w:val="样式 27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6">
    <w:name w:val="样式 27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7">
    <w:name w:val="样式 27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8">
    <w:name w:val="样式 27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89">
    <w:name w:val="样式 27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0">
    <w:name w:val="样式 27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1">
    <w:name w:val="样式 27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2">
    <w:name w:val="样式 27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3">
    <w:name w:val="样式 27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4">
    <w:name w:val="样式 28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5">
    <w:name w:val="样式 28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6">
    <w:name w:val="样式 28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7">
    <w:name w:val="样式 28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8">
    <w:name w:val="样式 28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199">
    <w:name w:val="样式 28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0">
    <w:name w:val="样式 28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1">
    <w:name w:val="样式 28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2">
    <w:name w:val="样式 28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3">
    <w:name w:val="样式 28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4">
    <w:name w:val="样式 28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5">
    <w:name w:val="样式 28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6">
    <w:name w:val="样式 28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7">
    <w:name w:val="样式 28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8">
    <w:name w:val="样式 28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09">
    <w:name w:val="样式 28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0">
    <w:name w:val="样式 28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1">
    <w:name w:val="样式 28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2">
    <w:name w:val="样式 28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3">
    <w:name w:val="样式 28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4">
    <w:name w:val="样式 28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5">
    <w:name w:val="样式 28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6">
    <w:name w:val="样式 28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7">
    <w:name w:val="样式 28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8">
    <w:name w:val="样式 28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19">
    <w:name w:val="样式 28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0">
    <w:name w:val="样式 28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1">
    <w:name w:val="样式 28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2">
    <w:name w:val="样式 28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3">
    <w:name w:val="样式 28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4">
    <w:name w:val="样式 28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5">
    <w:name w:val="样式 28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6">
    <w:name w:val="样式 28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7">
    <w:name w:val="样式 28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8">
    <w:name w:val="样式 28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29">
    <w:name w:val="样式 28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0">
    <w:name w:val="样式 28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1">
    <w:name w:val="样式 28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2">
    <w:name w:val="样式 28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3">
    <w:name w:val="样式 28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4">
    <w:name w:val="样式 28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5">
    <w:name w:val="样式 28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6">
    <w:name w:val="样式 28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7">
    <w:name w:val="样式 28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8">
    <w:name w:val="样式 28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39">
    <w:name w:val="样式 28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0">
    <w:name w:val="样式 28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1">
    <w:name w:val="样式 28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2">
    <w:name w:val="样式 28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3">
    <w:name w:val="样式 28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4">
    <w:name w:val="样式 28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5">
    <w:name w:val="样式 28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6">
    <w:name w:val="样式 28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7">
    <w:name w:val="样式 28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8">
    <w:name w:val="样式 28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49">
    <w:name w:val="样式 28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0">
    <w:name w:val="样式 28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1">
    <w:name w:val="样式 28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2">
    <w:name w:val="样式 28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3">
    <w:name w:val="样式 28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4">
    <w:name w:val="样式 28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5">
    <w:name w:val="样式 28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6">
    <w:name w:val="样式 28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7">
    <w:name w:val="样式 28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8">
    <w:name w:val="样式 28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59">
    <w:name w:val="样式 28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0">
    <w:name w:val="样式 28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1">
    <w:name w:val="样式 28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2">
    <w:name w:val="样式 28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3">
    <w:name w:val="样式 28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4">
    <w:name w:val="样式 28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5">
    <w:name w:val="样式 28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6">
    <w:name w:val="样式 28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7">
    <w:name w:val="样式 28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8">
    <w:name w:val="样式 28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69">
    <w:name w:val="样式 28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0">
    <w:name w:val="样式 28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1">
    <w:name w:val="样式 28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2">
    <w:name w:val="样式 28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3">
    <w:name w:val="样式 28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4">
    <w:name w:val="样式 28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5">
    <w:name w:val="样式 28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6">
    <w:name w:val="样式 28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7">
    <w:name w:val="样式 28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8">
    <w:name w:val="样式 28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79">
    <w:name w:val="样式 28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0">
    <w:name w:val="样式 28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1">
    <w:name w:val="样式 28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2">
    <w:name w:val="样式 28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3">
    <w:name w:val="样式 28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4">
    <w:name w:val="样式 28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5">
    <w:name w:val="样式 28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6">
    <w:name w:val="样式 28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7">
    <w:name w:val="样式 28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8">
    <w:name w:val="样式 28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89">
    <w:name w:val="样式 28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0">
    <w:name w:val="样式 28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1">
    <w:name w:val="样式 28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2">
    <w:name w:val="样式 28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3">
    <w:name w:val="样式 28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4">
    <w:name w:val="样式 29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5">
    <w:name w:val="样式 29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6">
    <w:name w:val="样式 29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7">
    <w:name w:val="样式 29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8">
    <w:name w:val="样式 29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299">
    <w:name w:val="样式 29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0">
    <w:name w:val="样式 29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1">
    <w:name w:val="样式 29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2">
    <w:name w:val="样式 29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3">
    <w:name w:val="样式 29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4">
    <w:name w:val="样式 29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5">
    <w:name w:val="样式 29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6">
    <w:name w:val="样式 29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7">
    <w:name w:val="样式 29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8">
    <w:name w:val="样式 29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09">
    <w:name w:val="样式 29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0">
    <w:name w:val="样式 29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1">
    <w:name w:val="样式 29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2">
    <w:name w:val="样式 29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3">
    <w:name w:val="样式 29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4">
    <w:name w:val="样式 29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5">
    <w:name w:val="样式 29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6">
    <w:name w:val="样式 29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7">
    <w:name w:val="样式 29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8">
    <w:name w:val="样式 29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19">
    <w:name w:val="样式 29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0">
    <w:name w:val="样式 29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1">
    <w:name w:val="样式 29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2">
    <w:name w:val="样式 29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3">
    <w:name w:val="样式 29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4">
    <w:name w:val="样式 29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5">
    <w:name w:val="样式 29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6">
    <w:name w:val="样式 29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7">
    <w:name w:val="样式 29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8">
    <w:name w:val="样式 29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29">
    <w:name w:val="样式 29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0">
    <w:name w:val="样式 29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1">
    <w:name w:val="样式 29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2">
    <w:name w:val="样式 29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3">
    <w:name w:val="样式 29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4">
    <w:name w:val="样式 29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5">
    <w:name w:val="样式 29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6">
    <w:name w:val="样式 29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7">
    <w:name w:val="样式 29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8">
    <w:name w:val="样式 29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39">
    <w:name w:val="样式 29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0">
    <w:name w:val="样式 29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1">
    <w:name w:val="样式 29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2">
    <w:name w:val="样式 29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3">
    <w:name w:val="样式 29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4">
    <w:name w:val="样式 29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5">
    <w:name w:val="样式 29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6">
    <w:name w:val="样式 29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7">
    <w:name w:val="样式 29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8">
    <w:name w:val="样式 29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49">
    <w:name w:val="样式 29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0">
    <w:name w:val="样式 29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1">
    <w:name w:val="样式 29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2">
    <w:name w:val="样式 29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3">
    <w:name w:val="样式 29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4">
    <w:name w:val="样式 29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5">
    <w:name w:val="样式 29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6">
    <w:name w:val="样式 29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7">
    <w:name w:val="样式 29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8">
    <w:name w:val="样式 29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59">
    <w:name w:val="样式 29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0">
    <w:name w:val="样式 29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1">
    <w:name w:val="样式 29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2">
    <w:name w:val="样式 29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3">
    <w:name w:val="样式 29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4">
    <w:name w:val="样式 29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5">
    <w:name w:val="样式 29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6">
    <w:name w:val="样式 29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7">
    <w:name w:val="样式 29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8">
    <w:name w:val="样式 29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69">
    <w:name w:val="样式 29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0">
    <w:name w:val="样式 29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1">
    <w:name w:val="样式 29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2">
    <w:name w:val="样式 29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3">
    <w:name w:val="样式 29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4">
    <w:name w:val="样式 29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5">
    <w:name w:val="样式 29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6">
    <w:name w:val="样式 29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7">
    <w:name w:val="样式 29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8">
    <w:name w:val="样式 29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79">
    <w:name w:val="样式 29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0">
    <w:name w:val="样式 29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1">
    <w:name w:val="样式 29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2">
    <w:name w:val="样式 29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3">
    <w:name w:val="样式 29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4">
    <w:name w:val="样式 29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5">
    <w:name w:val="样式 29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6">
    <w:name w:val="样式 29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7">
    <w:name w:val="样式 29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8">
    <w:name w:val="样式 29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89">
    <w:name w:val="样式 29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0">
    <w:name w:val="样式 29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1">
    <w:name w:val="样式 29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2">
    <w:name w:val="样式 29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3">
    <w:name w:val="样式 29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4">
    <w:name w:val="样式 30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5">
    <w:name w:val="样式 30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6">
    <w:name w:val="样式 30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7">
    <w:name w:val="样式 30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8">
    <w:name w:val="样式 30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399">
    <w:name w:val="样式 30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0">
    <w:name w:val="样式 30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1">
    <w:name w:val="样式 30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2">
    <w:name w:val="样式 30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3">
    <w:name w:val="样式 30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4">
    <w:name w:val="样式 30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5">
    <w:name w:val="样式 30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6">
    <w:name w:val="样式 30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7">
    <w:name w:val="样式 30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8">
    <w:name w:val="样式 30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09">
    <w:name w:val="样式 30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0">
    <w:name w:val="样式 30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1">
    <w:name w:val="样式 30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2">
    <w:name w:val="样式 30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3">
    <w:name w:val="样式 30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4">
    <w:name w:val="样式 30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5">
    <w:name w:val="样式 30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6">
    <w:name w:val="样式 30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7">
    <w:name w:val="样式 30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8">
    <w:name w:val="样式 30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19">
    <w:name w:val="样式 30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0">
    <w:name w:val="样式 30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1">
    <w:name w:val="样式 30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2">
    <w:name w:val="样式 30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3">
    <w:name w:val="样式 30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4">
    <w:name w:val="样式 30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5">
    <w:name w:val="样式 30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6">
    <w:name w:val="样式 30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7">
    <w:name w:val="样式 30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8">
    <w:name w:val="样式 30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29">
    <w:name w:val="样式 30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0">
    <w:name w:val="样式 30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1">
    <w:name w:val="样式 30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2">
    <w:name w:val="样式 30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3">
    <w:name w:val="样式 30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4">
    <w:name w:val="样式 30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5">
    <w:name w:val="样式 30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6">
    <w:name w:val="样式 30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7">
    <w:name w:val="样式 30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8">
    <w:name w:val="样式 30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39">
    <w:name w:val="样式 30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0">
    <w:name w:val="样式 30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1">
    <w:name w:val="样式 30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2">
    <w:name w:val="样式 30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3">
    <w:name w:val="样式 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4">
    <w:name w:val="样式 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5">
    <w:name w:val="样式 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6">
    <w:name w:val="样式 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7">
    <w:name w:val="样式 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8">
    <w:name w:val="样式 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49">
    <w:name w:val="样式 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0">
    <w:name w:val="样式 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1">
    <w:name w:val="样式 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2">
    <w:name w:val="样式 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3">
    <w:name w:val="样式 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4">
    <w:name w:val="样式 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5">
    <w:name w:val="样式 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6">
    <w:name w:val="样式 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7">
    <w:name w:val="样式 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8">
    <w:name w:val="样式 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59">
    <w:name w:val="样式 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0">
    <w:name w:val="样式 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1">
    <w:name w:val="样式 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2">
    <w:name w:val="样式 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3">
    <w:name w:val="样式 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4">
    <w:name w:val="样式 36 10 磅"/>
    <w:next w:val="62"/>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6">
    <w:name w:val="样式 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7">
    <w:name w:val="样式 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8">
    <w:name w:val="样式 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69">
    <w:name w:val="样式 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0">
    <w:name w:val="样式 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1">
    <w:name w:val="样式 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2">
    <w:name w:val="样式 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3">
    <w:name w:val="样式 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4">
    <w:name w:val="样式 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5">
    <w:name w:val="样式 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6">
    <w:name w:val="样式 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7">
    <w:name w:val="样式 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8">
    <w:name w:val="样式 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79">
    <w:name w:val="样式 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0">
    <w:name w:val="样式 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1">
    <w:name w:val="样式 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2">
    <w:name w:val="样式 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3">
    <w:name w:val="样式 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4">
    <w:name w:val="样式 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5">
    <w:name w:val="样式 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6">
    <w:name w:val="样式 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7">
    <w:name w:val="样式 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8">
    <w:name w:val="样式 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89">
    <w:name w:val="样式 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0">
    <w:name w:val="样式 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1">
    <w:name w:val="样式 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2">
    <w:name w:val="样式 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3">
    <w:name w:val="样式 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4">
    <w:name w:val="样式 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5">
    <w:name w:val="样式 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6">
    <w:name w:val="样式 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7">
    <w:name w:val="样式 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8">
    <w:name w:val="样式 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499">
    <w:name w:val="样式 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0">
    <w:name w:val="样式 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1">
    <w:name w:val="样式 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2">
    <w:name w:val="样式 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3">
    <w:name w:val="样式 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4">
    <w:name w:val="样式 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5">
    <w:name w:val="样式 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6">
    <w:name w:val="样式 78 10 磅"/>
    <w:next w:val="99"/>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8">
    <w:name w:val="样式 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09">
    <w:name w:val="样式 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0">
    <w:name w:val="样式 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1">
    <w:name w:val="样式 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2">
    <w:name w:val="样式 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3">
    <w:name w:val="样式 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4">
    <w:name w:val="样式 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5">
    <w:name w:val="样式 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6">
    <w:name w:val="样式 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7">
    <w:name w:val="样式 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8">
    <w:name w:val="样式 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19">
    <w:name w:val="样式 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0">
    <w:name w:val="样式 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1">
    <w:name w:val="样式 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2">
    <w:name w:val="样式 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3">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22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5">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7">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22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29">
    <w:name w:val="样式 22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0">
    <w:name w:val="样式 22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1">
    <w:name w:val="样式 22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2">
    <w:name w:val="样式 22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3">
    <w:name w:val="样式 22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4">
    <w:name w:val="样式 22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5">
    <w:name w:val="样式 228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6">
    <w:name w:val="样式 228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7">
    <w:name w:val="样式 22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8">
    <w:name w:val="样式 228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39">
    <w:name w:val="样式 30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0">
    <w:name w:val="样式 22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1">
    <w:name w:val="样式 2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2">
    <w:name w:val="样式 2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3">
    <w:name w:val="样式 2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4">
    <w:name w:val="样式 30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5">
    <w:name w:val="样式 30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6">
    <w:name w:val="样式 30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7">
    <w:name w:val="样式 30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8">
    <w:name w:val="样式 22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49">
    <w:name w:val="样式 229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0">
    <w:name w:val="样式 22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1">
    <w:name w:val="样式 229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2">
    <w:name w:val="样式 22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3">
    <w:name w:val="样式 23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4">
    <w:name w:val="样式 23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5">
    <w:name w:val="样式 23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6">
    <w:name w:val="样式 23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7">
    <w:name w:val="样式 23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8">
    <w:name w:val="样式 9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59">
    <w:name w:val="样式 1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0">
    <w:name w:val="样式 1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1">
    <w:name w:val="样式 1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2">
    <w:name w:val="样式 1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3">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1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7">
    <w:name w:val="样式 1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8">
    <w:name w:val="样式 1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69">
    <w:name w:val="样式 1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0">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1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3">
    <w:name w:val="样式 1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4">
    <w:name w:val="样式 1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5">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1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8">
    <w:name w:val="样式 1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79">
    <w:name w:val="样式 1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0">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1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3">
    <w:name w:val="样式 1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4">
    <w:name w:val="样式 1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5">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1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8">
    <w:name w:val="样式 1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89">
    <w:name w:val="样式 1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0">
    <w:name w:val="样式 1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1">
    <w:name w:val="样式 1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2">
    <w:name w:val="样式 1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3">
    <w:name w:val="样式 1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4">
    <w:name w:val="样式 1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5">
    <w:name w:val="样式 1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6">
    <w:name w:val="样式 1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7">
    <w:name w:val="样式 1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8">
    <w:name w:val="样式 1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599">
    <w:name w:val="样式 1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0">
    <w:name w:val="样式 1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1">
    <w:name w:val="样式 1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2">
    <w:name w:val="样式 1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3">
    <w:name w:val="样式 1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4">
    <w:name w:val="样式 1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5">
    <w:name w:val="样式 1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6">
    <w:name w:val="样式 1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7">
    <w:name w:val="样式 1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8">
    <w:name w:val="样式 1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09">
    <w:name w:val="样式 1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0">
    <w:name w:val="样式 1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1">
    <w:name w:val="样式 1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2">
    <w:name w:val="样式 1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3">
    <w:name w:val="样式 1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4">
    <w:name w:val="样式 1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5">
    <w:name w:val="样式 1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6">
    <w:name w:val="样式 1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7">
    <w:name w:val="样式 1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8">
    <w:name w:val="样式 1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19">
    <w:name w:val="样式 1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0">
    <w:name w:val="样式 1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1">
    <w:name w:val="样式 1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2">
    <w:name w:val="样式 1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3">
    <w:name w:val="样式 1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4">
    <w:name w:val="样式 1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5">
    <w:name w:val="样式 1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6">
    <w:name w:val="样式 1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7">
    <w:name w:val="样式 1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8">
    <w:name w:val="样式 1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29">
    <w:name w:val="样式 1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0">
    <w:name w:val="样式 1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1">
    <w:name w:val="样式 1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2">
    <w:name w:val="样式 1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3">
    <w:name w:val="样式 17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4">
    <w:name w:val="样式 17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5">
    <w:name w:val="样式 1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6">
    <w:name w:val="样式 17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7">
    <w:name w:val="样式 1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8">
    <w:name w:val="样式 1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39">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2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0">
    <w:name w:val="样式 20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1">
    <w:name w:val="样式 2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2">
    <w:name w:val="样式 2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3">
    <w:name w:val="样式 2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4">
    <w:name w:val="样式 2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5">
    <w:name w:val="样式 2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6">
    <w:name w:val="样式 2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7">
    <w:name w:val="样式 2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8">
    <w:name w:val="样式 2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69">
    <w:name w:val="样式 2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0">
    <w:name w:val="样式 2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1">
    <w:name w:val="样式 2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2">
    <w:name w:val="样式 2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3">
    <w:name w:val="样式 2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4">
    <w:name w:val="样式 2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5">
    <w:name w:val="样式 2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6">
    <w:name w:val="样式 2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7">
    <w:name w:val="样式 2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8">
    <w:name w:val="样式 2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79">
    <w:name w:val="样式 2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0">
    <w:name w:val="样式 2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1">
    <w:name w:val="样式 2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2">
    <w:name w:val="样式 2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3">
    <w:name w:val="样式 2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4">
    <w:name w:val="样式 2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5">
    <w:name w:val="样式 2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6">
    <w:name w:val="样式 2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87">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2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5">
    <w:name w:val="样式 2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6">
    <w:name w:val="样式 2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7">
    <w:name w:val="样式 2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8">
    <w:name w:val="样式 2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699">
    <w:name w:val="样式 2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0">
    <w:name w:val="样式 2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1">
    <w:name w:val="样式 2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2">
    <w:name w:val="样式 2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3">
    <w:name w:val="样式 2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4">
    <w:name w:val="样式 2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5">
    <w:name w:val="样式 2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6">
    <w:name w:val="样式 2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7">
    <w:name w:val="样式 2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8">
    <w:name w:val="样式 2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09">
    <w:name w:val="样式 2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0">
    <w:name w:val="样式 2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1">
    <w:name w:val="样式 2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2">
    <w:name w:val="样式 2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3">
    <w:name w:val="样式 2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4">
    <w:name w:val="样式 2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5">
    <w:name w:val="样式 2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6">
    <w:name w:val="样式 2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7">
    <w:name w:val="样式 2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8">
    <w:name w:val="样式 2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19">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2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1">
    <w:name w:val="样式 2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2">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2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54">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3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69">
    <w:name w:val="样式 31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0">
    <w:name w:val="样式 31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1">
    <w:name w:val="样式 3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2">
    <w:name w:val="样式 31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3">
    <w:name w:val="样式 3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4">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3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7">
    <w:name w:val="样式 3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8">
    <w:name w:val="样式 3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79">
    <w:name w:val="样式 3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0">
    <w:name w:val="样式 3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1">
    <w:name w:val="样式 32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2">
    <w:name w:val="样式 32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3">
    <w:name w:val="样式 3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4">
    <w:name w:val="样式 32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5">
    <w:name w:val="样式 3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6">
    <w:name w:val="样式 3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7">
    <w:name w:val="样式 3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8">
    <w:name w:val="样式 3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89">
    <w:name w:val="样式 3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0">
    <w:name w:val="样式 3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1">
    <w:name w:val="样式 3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2">
    <w:name w:val="样式 3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3">
    <w:name w:val="样式 33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4">
    <w:name w:val="样式 33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5">
    <w:name w:val="样式 3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6">
    <w:name w:val="样式 33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7">
    <w:name w:val="样式 3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8">
    <w:name w:val="样式 3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799">
    <w:name w:val="样式 3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0">
    <w:name w:val="样式 3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1">
    <w:name w:val="样式 3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2">
    <w:name w:val="样式 3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3">
    <w:name w:val="样式 3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4">
    <w:name w:val="样式 3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5">
    <w:name w:val="样式 34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6">
    <w:name w:val="样式 34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7">
    <w:name w:val="样式 3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8">
    <w:name w:val="样式 34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09">
    <w:name w:val="样式 3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0">
    <w:name w:val="样式 3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1">
    <w:name w:val="样式 3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2">
    <w:name w:val="样式 3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3">
    <w:name w:val="样式 3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4">
    <w:name w:val="样式 3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5">
    <w:name w:val="样式 3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6">
    <w:name w:val="样式 3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7">
    <w:name w:val="样式 3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8">
    <w:name w:val="样式 3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19">
    <w:name w:val="样式 3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0">
    <w:name w:val="样式 3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1">
    <w:name w:val="样式 3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2">
    <w:name w:val="样式 3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3">
    <w:name w:val="样式 3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4">
    <w:name w:val="样式 3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5">
    <w:name w:val="样式 36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6">
    <w:name w:val="样式 36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7">
    <w:name w:val="样式 36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8">
    <w:name w:val="样式 36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29">
    <w:name w:val="样式 37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0">
    <w:name w:val="样式 37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1">
    <w:name w:val="样式 37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2">
    <w:name w:val="样式 37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3">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37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6">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37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8">
    <w:name w:val="样式 37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39">
    <w:name w:val="样式 38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0">
    <w:name w:val="样式 38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1">
    <w:name w:val="样式 38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2">
    <w:name w:val="样式 38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3">
    <w:name w:val="样式 38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4">
    <w:name w:val="样式 38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5">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38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48">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39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0">
    <w:name w:val="样式 39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1">
    <w:name w:val="样式 39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2">
    <w:name w:val="样式 39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3">
    <w:name w:val="样式 39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4">
    <w:name w:val="样式 39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5">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39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57">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40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0">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40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2">
    <w:name w:val="样式 40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3">
    <w:name w:val="样式 40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4">
    <w:name w:val="样式 40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5">
    <w:name w:val="样式 40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6">
    <w:name w:val="样式 40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7">
    <w:name w:val="样式 40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8">
    <w:name w:val="样式 40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69">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41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2">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41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4">
    <w:name w:val="样式 41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5">
    <w:name w:val="样式 41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6">
    <w:name w:val="样式 41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7">
    <w:name w:val="样式 41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8">
    <w:name w:val="样式 41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79">
    <w:name w:val="样式 42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0">
    <w:name w:val="样式 42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1">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42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4">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42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6">
    <w:name w:val="样式 42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7">
    <w:name w:val="样式 42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8">
    <w:name w:val="样式 42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89">
    <w:name w:val="样式 43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0">
    <w:name w:val="样式 43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1">
    <w:name w:val="样式 43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2">
    <w:name w:val="样式 43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3">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43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6">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43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8">
    <w:name w:val="样式 43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899">
    <w:name w:val="样式 44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0">
    <w:name w:val="样式 44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1">
    <w:name w:val="样式 44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2">
    <w:name w:val="样式 44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3">
    <w:name w:val="样式 44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4">
    <w:name w:val="样式 44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5">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44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08">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45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0">
    <w:name w:val="样式 45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1">
    <w:name w:val="样式 45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2">
    <w:name w:val="样式 45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3">
    <w:name w:val="样式 45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4">
    <w:name w:val="样式 45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5">
    <w:name w:val="样式 456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6">
    <w:name w:val="样式 457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7">
    <w:name w:val="样式 458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8">
    <w:name w:val="样式 459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19">
    <w:name w:val="样式 460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0">
    <w:name w:val="样式 461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1">
    <w:name w:val="样式 462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2">
    <w:name w:val="样式 463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3">
    <w:name w:val="样式 464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4">
    <w:name w:val="样式 465 10 磅"/>
    <w:pPr>
      <w:kinsoku w:val="0"/>
      <w:autoSpaceDE w:val="0"/>
      <w:autoSpaceDN w:val="0"/>
      <w:adjustRightInd w:val="0"/>
      <w:snapToGrid w:val="0"/>
      <w:textAlignment w:val="baseline"/>
    </w:pPr>
    <w:rPr>
      <w:rFonts w:ascii="Arial" w:eastAsia="Arial" w:cs="Arial" w:hAnsi="Arial"/>
      <w:snapToGrid w:val="0"/>
      <w:color w:val="000000"/>
      <w:sz w:val="21"/>
      <w:szCs w:val="21"/>
      <w:lang w:val="en-US" w:eastAsia="zh-CN" w:bidi="ar-SA"/>
    </w:rPr>
  </w:style>
  <w:style w:type="paragraph" w:customStyle="1" w:styleId="925">
    <w:name w:val="样式 小四"/>
    <w:rPr>
      <w:rFonts w:ascii="宋体" w:eastAsia="宋体" w:cs="宋体"/>
      <w:sz w:val="24"/>
      <w:szCs w:val="24"/>
      <w:lang w:val="en-US" w:eastAsia="zh-CN" w:bidi="ar-SA"/>
    </w:rPr>
  </w:style>
  <w:style w:type="paragraph" w:styleId="926">
    <w:name w:val="Balloon Text"/>
    <w:basedOn w:val="0"/>
    <w:rPr>
      <w:sz w:val="18"/>
      <w:szCs w:val="18"/>
    </w:rPr>
  </w:style>
  <w:style w:type="paragraph" w:customStyle="1" w:styleId="927">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501 10 磅"/>
    <w:pPr>
      <w:widowControl w:val="0"/>
      <w:jc w:val="both"/>
    </w:pPr>
    <w:rPr>
      <w:rFonts w:ascii="Times New Roman" w:eastAsia="宋体" w:cs="Times New Roman" w:hAnsi="Times New Roman"/>
      <w:kern w:val="2"/>
      <w:sz w:val="21"/>
      <w:szCs w:val="24"/>
      <w:lang w:val="en-US" w:eastAsia="zh-CN" w:bidi="ar-SA"/>
    </w:rPr>
  </w:style>
  <w:style w:type="character" w:styleId="963">
    <w:name w:val="page number"/>
    <w:basedOn w:val="10"/>
  </w:style>
  <w:style w:type="paragraph" w:customStyle="1" w:styleId="964">
    <w:name w:val="样式 502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png"/><Relationship Id="rId4" Type="http://schemas.openxmlformats.org/officeDocument/2006/relationships/image" Target="media/5.png"/><Relationship Id="rId5" Type="http://schemas.openxmlformats.org/officeDocument/2006/relationships/image" Target="media/8.png"/><Relationship Id="rId6" Type="http://schemas.openxmlformats.org/officeDocument/2006/relationships/image" Target="media/11.png"/><Relationship Id="rId7" Type="http://schemas.openxmlformats.org/officeDocument/2006/relationships/image" Target="media/14.png"/><Relationship Id="rId8" Type="http://schemas.openxmlformats.org/officeDocument/2006/relationships/styles" Target="styles.xml"/><Relationship Id="rId9" Type="http://schemas.openxmlformats.org/officeDocument/2006/relationships/fontTable" Target="fontTable.xml"/></Relationships>
</file>

<file path=docProps/app.xml><?xml version="1.0" encoding="utf-8"?>
<Properties xmlns="http://schemas.openxmlformats.org/officeDocument/2006/extended-properties">
  <Template>Normal.eit</Template>
  <TotalTime>2693</TotalTime>
  <Application>Yozo_Office</Application>
  <Pages>31</Pages>
  <Words>7067</Words>
  <Characters>9051</Characters>
  <Lines>1549</Lines>
  <Paragraphs>833</Paragraphs>
  <CharactersWithSpaces>9488</CharactersWithSpaces>
  <Company>ZJHG</Company>
</Properties>
</file>

<file path=docProps/core.xml><?xml version="1.0" encoding="utf-8"?>
<cp:coreProperties xmlns:cp="http://schemas.openxmlformats.org/package/2006/metadata/core-properties" xmlns:dc="http://purl.org/dc/elements/1.1/" xmlns:dcterms="http://purl.org/dc/terms/" xmlns:xsi="http://www.w3.org/2001/XMLSchema-instance">
  <dc:creator>Windows 用户</dc:creator>
  <cp:lastModifiedBy>Microsoft</cp:lastModifiedBy>
  <cp:revision>8</cp:revision>
  <cp:lastPrinted>2025-05-15T01:15:00Z</cp:lastPrinted>
  <dcterms:created xsi:type="dcterms:W3CDTF">2024-05-14T02:52:00Z</dcterms:created>
  <dcterms:modified xsi:type="dcterms:W3CDTF">2026-05-15T01:42:53Z</dcterms:modified>
</cp:coreProperties>
</file>